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42BA1" w14:textId="3ABF51DD" w:rsidR="00E001EF" w:rsidRDefault="00E001EF" w:rsidP="00947D0A">
      <w:pPr>
        <w:spacing w:after="0" w:line="240" w:lineRule="auto"/>
        <w:contextualSpacing/>
        <w:jc w:val="center"/>
        <w:rPr>
          <w:b/>
          <w:bCs/>
          <w:sz w:val="32"/>
          <w:szCs w:val="32"/>
        </w:rPr>
      </w:pPr>
      <w:r w:rsidRPr="004A5744">
        <w:rPr>
          <w:b/>
          <w:bCs/>
          <w:sz w:val="32"/>
          <w:szCs w:val="32"/>
        </w:rPr>
        <w:t>Stakeholder Group on Ageing</w:t>
      </w:r>
    </w:p>
    <w:p w14:paraId="1B8FAEB0" w14:textId="05C043C2" w:rsidR="006C0BC4" w:rsidRPr="004A5744" w:rsidRDefault="006C0BC4" w:rsidP="00947D0A">
      <w:pPr>
        <w:spacing w:after="0" w:line="240" w:lineRule="auto"/>
        <w:contextualSpacing/>
        <w:jc w:val="center"/>
        <w:rPr>
          <w:b/>
          <w:bCs/>
          <w:sz w:val="32"/>
          <w:szCs w:val="32"/>
        </w:rPr>
      </w:pPr>
      <w:r>
        <w:rPr>
          <w:b/>
          <w:bCs/>
          <w:sz w:val="32"/>
          <w:szCs w:val="32"/>
        </w:rPr>
        <w:t xml:space="preserve">Policy Statement  </w:t>
      </w:r>
    </w:p>
    <w:p w14:paraId="4A2A7822" w14:textId="77777777" w:rsidR="00E001EF" w:rsidRPr="004A5744" w:rsidRDefault="00E001EF" w:rsidP="00947D0A">
      <w:pPr>
        <w:spacing w:after="0" w:line="240" w:lineRule="auto"/>
        <w:jc w:val="center"/>
        <w:rPr>
          <w:b/>
          <w:bCs/>
          <w:sz w:val="32"/>
          <w:szCs w:val="32"/>
        </w:rPr>
      </w:pPr>
      <w:r w:rsidRPr="004A5744">
        <w:rPr>
          <w:b/>
          <w:bCs/>
          <w:sz w:val="32"/>
          <w:szCs w:val="32"/>
        </w:rPr>
        <w:t>High-Level Political Forum on Sustainable Development 2026</w:t>
      </w:r>
    </w:p>
    <w:p w14:paraId="245FBE13" w14:textId="502F08CE" w:rsidR="00947D0A" w:rsidRDefault="006C0BC4" w:rsidP="00947D0A">
      <w:pPr>
        <w:spacing w:after="0" w:line="240" w:lineRule="auto"/>
        <w:jc w:val="center"/>
        <w:rPr>
          <w:rFonts w:ascii="Times New Roman" w:hAnsi="Times New Roman" w:cs="Times New Roman"/>
          <w:b/>
          <w:bCs/>
          <w:i/>
          <w:iCs/>
        </w:rPr>
      </w:pPr>
      <w:r>
        <w:rPr>
          <w:rFonts w:ascii="Times New Roman" w:hAnsi="Times New Roman" w:cs="Times New Roman"/>
          <w:b/>
          <w:bCs/>
          <w:i/>
          <w:iCs/>
        </w:rPr>
        <w:t>Summary</w:t>
      </w:r>
    </w:p>
    <w:p w14:paraId="5B9EBA74" w14:textId="3BF41E87" w:rsidR="002712F9" w:rsidRPr="00091A49" w:rsidRDefault="006F79E5" w:rsidP="00E3410D">
      <w:pPr>
        <w:jc w:val="center"/>
        <w:rPr>
          <w:rFonts w:ascii="Times New Roman" w:hAnsi="Times New Roman" w:cs="Times New Roman"/>
          <w:b/>
          <w:bCs/>
          <w:sz w:val="22"/>
          <w:szCs w:val="22"/>
        </w:rPr>
      </w:pPr>
      <w:r>
        <w:pict w14:anchorId="6A4A0B2A">
          <v:rect id="Horizontal Line 3" o:spid="_x0000_s1037"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6DFA6A8" w14:textId="5FED077C" w:rsidR="006C0BC4" w:rsidRPr="00CD411E" w:rsidRDefault="006C0BC4" w:rsidP="006C0BC4">
      <w:pPr>
        <w:spacing w:line="240" w:lineRule="auto"/>
        <w:rPr>
          <w:rFonts w:ascii="Times New Roman" w:hAnsi="Times New Roman" w:cs="Times New Roman"/>
          <w:color w:val="000000" w:themeColor="text1"/>
        </w:rPr>
      </w:pPr>
      <w:r w:rsidRPr="00CD411E">
        <w:rPr>
          <w:rFonts w:ascii="Times New Roman" w:hAnsi="Times New Roman" w:cs="Times New Roman"/>
          <w:color w:val="000000" w:themeColor="text1"/>
        </w:rPr>
        <w:t>The Stakeholder Group on Ageing (SGA) urges local authorities, governments and the international community to take bold, coordinated and innovative action to ensure no one is left behind, regardless of age. This year’s theme demands addressing systemic exclusion and marginalisation of older persons. This reinforces several international frameworks: the UN Decade for Healthy Ageing, the Pact for the Future, the Doha Political Declaration, and the Madrid International Plan of Action on Ageing, marking its 25</w:t>
      </w:r>
      <w:r w:rsidRPr="00CD411E">
        <w:rPr>
          <w:rFonts w:ascii="Times New Roman" w:hAnsi="Times New Roman" w:cs="Times New Roman"/>
          <w:color w:val="000000" w:themeColor="text1"/>
          <w:vertAlign w:val="superscript"/>
        </w:rPr>
        <w:t>th</w:t>
      </w:r>
      <w:r w:rsidRPr="00CD411E">
        <w:rPr>
          <w:rFonts w:ascii="Times New Roman" w:hAnsi="Times New Roman" w:cs="Times New Roman"/>
          <w:color w:val="000000" w:themeColor="text1"/>
        </w:rPr>
        <w:t xml:space="preserve"> anniversary in 2027. </w:t>
      </w:r>
    </w:p>
    <w:p w14:paraId="7D0964E7" w14:textId="1AC1C42B" w:rsidR="006C0BC4" w:rsidRPr="00CD411E" w:rsidRDefault="006C0BC4" w:rsidP="006C0BC4">
      <w:pPr>
        <w:spacing w:line="240" w:lineRule="auto"/>
        <w:rPr>
          <w:rFonts w:ascii="Times New Roman" w:hAnsi="Times New Roman" w:cs="Times New Roman"/>
          <w:color w:val="000000" w:themeColor="text1"/>
        </w:rPr>
      </w:pPr>
      <w:r w:rsidRPr="00CD411E">
        <w:rPr>
          <w:rFonts w:ascii="Times New Roman" w:hAnsi="Times New Roman" w:cs="Times New Roman"/>
          <w:color w:val="000000" w:themeColor="text1"/>
        </w:rPr>
        <w:t>Older people face multiple forms of discrimination; ableism, sexism, racism, classism, heterosexism, and homophobia. Physical and spatial barriers—like inaccessible housing, polluted environments, poor public services, and digital exclusion—worsen these inequalities, undermining the 2030 Agenda’s goals.</w:t>
      </w:r>
    </w:p>
    <w:p w14:paraId="6C70F377" w14:textId="77777777" w:rsidR="006C0BC4" w:rsidRPr="00CD411E" w:rsidRDefault="006C0BC4" w:rsidP="006C0BC4">
      <w:pPr>
        <w:spacing w:line="240" w:lineRule="auto"/>
        <w:rPr>
          <w:rFonts w:ascii="Times New Roman" w:hAnsi="Times New Roman" w:cs="Times New Roman"/>
          <w:color w:val="000000" w:themeColor="text1"/>
        </w:rPr>
      </w:pPr>
      <w:r w:rsidRPr="00CD411E">
        <w:rPr>
          <w:rFonts w:ascii="Times New Roman" w:hAnsi="Times New Roman" w:cs="Times New Roman"/>
          <w:bCs/>
          <w:color w:val="000000" w:themeColor="text1"/>
        </w:rPr>
        <w:t>We call on local authorities, governments and the international community to:</w:t>
      </w:r>
    </w:p>
    <w:p w14:paraId="44391EAE" w14:textId="77777777" w:rsidR="006C0BC4" w:rsidRPr="00CD411E" w:rsidRDefault="006C0BC4" w:rsidP="006C0BC4">
      <w:pPr>
        <w:numPr>
          <w:ilvl w:val="0"/>
          <w:numId w:val="20"/>
        </w:numPr>
        <w:spacing w:line="240" w:lineRule="auto"/>
        <w:rPr>
          <w:rFonts w:ascii="Times New Roman" w:hAnsi="Times New Roman" w:cs="Times New Roman"/>
          <w:color w:val="000000" w:themeColor="text1"/>
        </w:rPr>
      </w:pPr>
      <w:r w:rsidRPr="00CD411E">
        <w:rPr>
          <w:rFonts w:ascii="Times New Roman" w:hAnsi="Times New Roman" w:cs="Times New Roman"/>
          <w:bCs/>
          <w:color w:val="000000" w:themeColor="text1"/>
        </w:rPr>
        <w:t>Adopt and implement people-centred, life course approaches to sustainable development</w:t>
      </w:r>
      <w:r w:rsidRPr="00CD411E">
        <w:rPr>
          <w:rFonts w:ascii="Times New Roman" w:hAnsi="Times New Roman" w:cs="Times New Roman"/>
          <w:color w:val="000000" w:themeColor="text1"/>
        </w:rPr>
        <w:t xml:space="preserve"> prioritising inclusion, accessibility, safety and sustainability. This means investing in age-friendly infrastructure, ensuring universal access to services and equal opportunities by all. For example, o</w:t>
      </w:r>
      <w:r w:rsidRPr="00CD411E">
        <w:rPr>
          <w:rFonts w:ascii="Times New Roman" w:hAnsi="Times New Roman" w:cs="Times New Roman"/>
          <w:bCs/>
          <w:color w:val="000000" w:themeColor="text1"/>
        </w:rPr>
        <w:t>lder persons are disproportionately affected by weak water and sanitation infrastructure- SDG6.</w:t>
      </w:r>
    </w:p>
    <w:p w14:paraId="5E5ADC31" w14:textId="77777777" w:rsidR="006C0BC4" w:rsidRPr="00CD411E" w:rsidRDefault="006C0BC4" w:rsidP="006C0BC4">
      <w:pPr>
        <w:numPr>
          <w:ilvl w:val="0"/>
          <w:numId w:val="20"/>
        </w:numPr>
        <w:spacing w:line="240" w:lineRule="auto"/>
        <w:rPr>
          <w:rFonts w:ascii="Times New Roman" w:hAnsi="Times New Roman" w:cs="Times New Roman"/>
          <w:color w:val="000000" w:themeColor="text1"/>
        </w:rPr>
      </w:pPr>
      <w:r w:rsidRPr="00CD411E">
        <w:rPr>
          <w:rFonts w:ascii="Times New Roman" w:hAnsi="Times New Roman" w:cs="Times New Roman"/>
          <w:bCs/>
          <w:color w:val="000000" w:themeColor="text1"/>
        </w:rPr>
        <w:t>Recognise and amplify the contributions of older people</w:t>
      </w:r>
      <w:r w:rsidRPr="00CD411E">
        <w:rPr>
          <w:rFonts w:ascii="Times New Roman" w:hAnsi="Times New Roman" w:cs="Times New Roman"/>
          <w:color w:val="000000" w:themeColor="text1"/>
        </w:rPr>
        <w:t xml:space="preserve"> to their families, communities and society. They are essential for social cohesion, economic vitality, and the transmission of knowledge across generations. Governments must create opportunities for older persons to shape policies, programmes and legislation. SDG9 cannot be implemented effectively without considering how innovation and infrastructure affect participation, employability and resilience across the life-course.</w:t>
      </w:r>
    </w:p>
    <w:p w14:paraId="5EBE1B9D" w14:textId="77777777" w:rsidR="006C0BC4" w:rsidRPr="00CD411E" w:rsidRDefault="006C0BC4" w:rsidP="006C0BC4">
      <w:pPr>
        <w:numPr>
          <w:ilvl w:val="0"/>
          <w:numId w:val="20"/>
        </w:numPr>
        <w:spacing w:line="240" w:lineRule="auto"/>
        <w:rPr>
          <w:rFonts w:ascii="Times New Roman" w:hAnsi="Times New Roman" w:cs="Times New Roman"/>
          <w:color w:val="000000" w:themeColor="text1"/>
        </w:rPr>
      </w:pPr>
      <w:r w:rsidRPr="00CD411E">
        <w:rPr>
          <w:rFonts w:ascii="Times New Roman" w:hAnsi="Times New Roman" w:cs="Times New Roman"/>
          <w:bCs/>
          <w:color w:val="000000" w:themeColor="text1"/>
        </w:rPr>
        <w:t>Leverage the World Health Organization’s Age-friendly Cities framework</w:t>
      </w:r>
      <w:r w:rsidRPr="00CD411E">
        <w:rPr>
          <w:rFonts w:ascii="Times New Roman" w:hAnsi="Times New Roman" w:cs="Times New Roman"/>
          <w:color w:val="000000" w:themeColor="text1"/>
        </w:rPr>
        <w:t xml:space="preserve"> and integrate its principles into national and local action. Municipal and city governments are uniquely positioned to drive this change.</w:t>
      </w:r>
    </w:p>
    <w:p w14:paraId="3E3651BE" w14:textId="77777777" w:rsidR="006C0BC4" w:rsidRPr="00CD411E" w:rsidRDefault="006C0BC4" w:rsidP="006C0BC4">
      <w:pPr>
        <w:numPr>
          <w:ilvl w:val="0"/>
          <w:numId w:val="20"/>
        </w:numPr>
        <w:spacing w:line="240" w:lineRule="auto"/>
        <w:rPr>
          <w:rFonts w:ascii="Times New Roman" w:hAnsi="Times New Roman" w:cs="Times New Roman"/>
          <w:color w:val="000000" w:themeColor="text1"/>
        </w:rPr>
      </w:pPr>
      <w:r w:rsidRPr="00CD411E">
        <w:rPr>
          <w:rFonts w:ascii="Times New Roman" w:hAnsi="Times New Roman" w:cs="Times New Roman"/>
          <w:bCs/>
          <w:color w:val="000000" w:themeColor="text1"/>
        </w:rPr>
        <w:t>Support the drafting of a UN Convention on the Rights of Older Persons at the Open-Ended Intergovernmental Working Group on older persons</w:t>
      </w:r>
      <w:r w:rsidRPr="00CD411E">
        <w:rPr>
          <w:rFonts w:ascii="Times New Roman" w:hAnsi="Times New Roman" w:cs="Times New Roman"/>
          <w:color w:val="000000" w:themeColor="text1"/>
        </w:rPr>
        <w:t>, which offers a historic opportunity for the protection and promotion of the human rights of older people.</w:t>
      </w:r>
    </w:p>
    <w:p w14:paraId="44EABB97" w14:textId="77777777" w:rsidR="006C0BC4" w:rsidRPr="00CD411E" w:rsidRDefault="006C0BC4" w:rsidP="006C0BC4">
      <w:pPr>
        <w:pStyle w:val="ListParagraph"/>
        <w:numPr>
          <w:ilvl w:val="0"/>
          <w:numId w:val="20"/>
        </w:numPr>
        <w:spacing w:before="100" w:beforeAutospacing="1" w:after="100" w:afterAutospacing="1"/>
        <w:rPr>
          <w:rFonts w:ascii="Times New Roman" w:hAnsi="Times New Roman" w:cs="Times New Roman"/>
          <w:color w:val="000000" w:themeColor="text1"/>
          <w:lang w:val="de-DE"/>
        </w:rPr>
      </w:pPr>
      <w:r w:rsidRPr="00CD411E">
        <w:rPr>
          <w:rFonts w:ascii="Times New Roman" w:hAnsi="Times New Roman" w:cs="Times New Roman"/>
          <w:bCs/>
          <w:color w:val="000000" w:themeColor="text1"/>
        </w:rPr>
        <w:t>Partnerships on ageing and age-disaggregated data covering the entire life course are essential for SDGs and Doha commitments to be met.</w:t>
      </w:r>
      <w:r w:rsidRPr="00CD411E">
        <w:rPr>
          <w:rFonts w:ascii="Times New Roman" w:hAnsi="Times New Roman" w:cs="Times New Roman"/>
          <w:color w:val="000000" w:themeColor="text1"/>
        </w:rPr>
        <w:t xml:space="preserve"> We treasure what we measure. Redoubled investments are needed for meaningful inclusion and participation of older persons in partnerships and for the life-course statistics and data in order to leave no older person behind. The SGA</w:t>
      </w:r>
      <w:r w:rsidRPr="00CD411E">
        <w:rPr>
          <w:rFonts w:ascii="Times New Roman" w:hAnsi="Times New Roman" w:cs="Times New Roman"/>
          <w:bCs/>
          <w:color w:val="000000" w:themeColor="text1"/>
        </w:rPr>
        <w:t xml:space="preserve"> </w:t>
      </w:r>
      <w:r w:rsidRPr="00CD411E">
        <w:rPr>
          <w:rFonts w:ascii="Times New Roman" w:hAnsi="Times New Roman" w:cs="Times New Roman"/>
          <w:color w:val="000000" w:themeColor="text1"/>
        </w:rPr>
        <w:t>stresses the need for age-inclusive data, emphasizing older populations,</w:t>
      </w:r>
    </w:p>
    <w:p w14:paraId="5CD3C715" w14:textId="77777777" w:rsidR="00FB05B3" w:rsidRPr="00CD411E" w:rsidRDefault="006C0BC4" w:rsidP="00DD2354">
      <w:pPr>
        <w:spacing w:line="240" w:lineRule="auto"/>
        <w:rPr>
          <w:rFonts w:ascii="Times New Roman" w:hAnsi="Times New Roman" w:cs="Times New Roman"/>
          <w:color w:val="000000" w:themeColor="text1"/>
        </w:rPr>
      </w:pPr>
      <w:r w:rsidRPr="00CD411E">
        <w:rPr>
          <w:rFonts w:ascii="Times New Roman" w:hAnsi="Times New Roman" w:cs="Times New Roman"/>
          <w:color w:val="000000" w:themeColor="text1"/>
        </w:rPr>
        <w:lastRenderedPageBreak/>
        <w:t>Progress has been made, but partnerships must better integrate older people’s voices and rights, so that the 2030 Agenda succeeds.</w:t>
      </w:r>
    </w:p>
    <w:p w14:paraId="6AE71ADC" w14:textId="65F6CEE0" w:rsidR="00DD2354" w:rsidRPr="00CD411E" w:rsidRDefault="00DD2354" w:rsidP="00FB05B3">
      <w:pPr>
        <w:spacing w:line="240" w:lineRule="auto"/>
        <w:jc w:val="center"/>
        <w:rPr>
          <w:rFonts w:ascii="Times New Roman" w:hAnsi="Times New Roman" w:cs="Times New Roman"/>
          <w:b/>
          <w:bCs/>
          <w:color w:val="000000" w:themeColor="text1"/>
        </w:rPr>
      </w:pPr>
      <w:r w:rsidRPr="00CD411E">
        <w:rPr>
          <w:rFonts w:ascii="Times New Roman" w:hAnsi="Times New Roman" w:cs="Times New Roman"/>
          <w:b/>
          <w:bCs/>
          <w:color w:val="000000" w:themeColor="text1"/>
        </w:rPr>
        <w:t>Introduction</w:t>
      </w:r>
    </w:p>
    <w:p w14:paraId="7A64FA8A" w14:textId="77777777" w:rsidR="00FB05B3" w:rsidRPr="00CD411E" w:rsidRDefault="00DD2354" w:rsidP="00DD2354">
      <w:pPr>
        <w:spacing w:line="240" w:lineRule="auto"/>
        <w:rPr>
          <w:rFonts w:ascii="Times New Roman" w:eastAsia="Times New Roman" w:hAnsi="Times New Roman" w:cs="Times New Roman"/>
          <w:kern w:val="0"/>
          <w:lang w:eastAsia="en-GB"/>
          <w14:ligatures w14:val="none"/>
        </w:rPr>
      </w:pPr>
      <w:r w:rsidRPr="00CD411E">
        <w:rPr>
          <w:rFonts w:ascii="Times New Roman" w:eastAsia="Times New Roman" w:hAnsi="Times New Roman" w:cs="Times New Roman"/>
          <w:kern w:val="0"/>
          <w:lang w:eastAsia="en-GB"/>
          <w14:ligatures w14:val="none"/>
        </w:rPr>
        <w:t>T</w:t>
      </w:r>
      <w:r w:rsidR="006C0BC4" w:rsidRPr="00CD411E">
        <w:rPr>
          <w:rFonts w:ascii="Times New Roman" w:eastAsia="Times New Roman" w:hAnsi="Times New Roman" w:cs="Times New Roman"/>
          <w:kern w:val="0"/>
          <w:lang w:eastAsia="en-GB"/>
          <w14:ligatures w14:val="none"/>
        </w:rPr>
        <w:t>his paper contributes to the 2026 High-Level Political Forum</w:t>
      </w:r>
      <w:r w:rsidR="00FB05B3" w:rsidRPr="00CD411E">
        <w:rPr>
          <w:rFonts w:ascii="Times New Roman" w:eastAsia="Times New Roman" w:hAnsi="Times New Roman" w:cs="Times New Roman"/>
          <w:kern w:val="0"/>
          <w:lang w:eastAsia="en-GB"/>
          <w14:ligatures w14:val="none"/>
        </w:rPr>
        <w:t>.</w:t>
      </w:r>
      <w:r w:rsidR="006C0BC4" w:rsidRPr="00CD411E">
        <w:rPr>
          <w:rFonts w:ascii="Times New Roman" w:eastAsia="Times New Roman" w:hAnsi="Times New Roman" w:cs="Times New Roman"/>
          <w:kern w:val="0"/>
          <w:lang w:eastAsia="en-GB"/>
          <w14:ligatures w14:val="none"/>
        </w:rPr>
        <w:t xml:space="preserve"> It examines</w:t>
      </w:r>
      <w:r w:rsidR="00DD0A98" w:rsidRPr="00CD411E">
        <w:rPr>
          <w:rFonts w:ascii="Times New Roman" w:eastAsia="Times New Roman" w:hAnsi="Times New Roman" w:cs="Times New Roman"/>
          <w:kern w:val="0"/>
          <w:lang w:eastAsia="en-GB"/>
          <w14:ligatures w14:val="none"/>
        </w:rPr>
        <w:t xml:space="preserve"> </w:t>
      </w:r>
      <w:r w:rsidR="006C0BC4" w:rsidRPr="00CD411E">
        <w:rPr>
          <w:rFonts w:ascii="Times New Roman" w:eastAsia="Times New Roman" w:hAnsi="Times New Roman" w:cs="Times New Roman"/>
          <w:kern w:val="0"/>
          <w:lang w:eastAsia="en-GB"/>
          <w14:ligatures w14:val="none"/>
        </w:rPr>
        <w:t>how ageing intersects with</w:t>
      </w:r>
      <w:r w:rsidR="00DD0A98" w:rsidRPr="00CD411E">
        <w:rPr>
          <w:rFonts w:ascii="Times New Roman" w:eastAsia="Times New Roman" w:hAnsi="Times New Roman" w:cs="Times New Roman"/>
          <w:kern w:val="0"/>
          <w:lang w:eastAsia="en-GB"/>
          <w14:ligatures w14:val="none"/>
        </w:rPr>
        <w:t xml:space="preserve"> four of </w:t>
      </w:r>
      <w:r w:rsidR="006C0BC4" w:rsidRPr="00CD411E">
        <w:rPr>
          <w:rFonts w:ascii="Times New Roman" w:eastAsia="Times New Roman" w:hAnsi="Times New Roman" w:cs="Times New Roman"/>
          <w:kern w:val="0"/>
          <w:lang w:eastAsia="en-GB"/>
          <w14:ligatures w14:val="none"/>
        </w:rPr>
        <w:t>the Sustainable Development Goals under review—SDG 6, SDG 7, SDG 11, and SDG 17—and identifies</w:t>
      </w:r>
      <w:r w:rsidR="00DD0A98" w:rsidRPr="00CD411E">
        <w:rPr>
          <w:rFonts w:ascii="Times New Roman" w:eastAsia="Times New Roman" w:hAnsi="Times New Roman" w:cs="Times New Roman"/>
          <w:kern w:val="0"/>
          <w:lang w:eastAsia="en-GB"/>
          <w14:ligatures w14:val="none"/>
        </w:rPr>
        <w:t xml:space="preserve"> </w:t>
      </w:r>
      <w:r w:rsidR="006C0BC4" w:rsidRPr="00CD411E">
        <w:rPr>
          <w:rFonts w:ascii="Times New Roman" w:eastAsia="Times New Roman" w:hAnsi="Times New Roman" w:cs="Times New Roman"/>
          <w:kern w:val="0"/>
          <w:lang w:eastAsia="en-GB"/>
          <w14:ligatures w14:val="none"/>
        </w:rPr>
        <w:t xml:space="preserve">practical actions for </w:t>
      </w:r>
      <w:r w:rsidR="00DD0A98" w:rsidRPr="00CD411E">
        <w:rPr>
          <w:rFonts w:ascii="Times New Roman" w:eastAsia="Times New Roman" w:hAnsi="Times New Roman" w:cs="Times New Roman"/>
          <w:kern w:val="0"/>
          <w:lang w:eastAsia="en-GB"/>
          <w14:ligatures w14:val="none"/>
        </w:rPr>
        <w:t>i</w:t>
      </w:r>
      <w:r w:rsidR="006C0BC4" w:rsidRPr="00CD411E">
        <w:rPr>
          <w:rFonts w:ascii="Times New Roman" w:eastAsia="Times New Roman" w:hAnsi="Times New Roman" w:cs="Times New Roman"/>
          <w:kern w:val="0"/>
          <w:lang w:eastAsia="en-GB"/>
          <w14:ligatures w14:val="none"/>
        </w:rPr>
        <w:t>nclusive and age-responsive development policies.</w:t>
      </w:r>
      <w:r w:rsidRPr="00CD411E">
        <w:rPr>
          <w:rFonts w:ascii="Times New Roman" w:eastAsia="Times New Roman" w:hAnsi="Times New Roman" w:cs="Times New Roman"/>
          <w:kern w:val="0"/>
          <w:lang w:eastAsia="en-GB"/>
          <w14:ligatures w14:val="none"/>
        </w:rPr>
        <w:t xml:space="preserve"> </w:t>
      </w:r>
    </w:p>
    <w:p w14:paraId="699B6EB5" w14:textId="028DF377" w:rsidR="006C0BC4" w:rsidRPr="00CD411E" w:rsidRDefault="006C0BC4" w:rsidP="00DD2354">
      <w:pPr>
        <w:spacing w:line="240" w:lineRule="auto"/>
        <w:rPr>
          <w:rFonts w:ascii="Times New Roman" w:eastAsia="Times New Roman" w:hAnsi="Times New Roman" w:cs="Times New Roman"/>
          <w:kern w:val="0"/>
          <w:lang w:eastAsia="en-GB"/>
          <w14:ligatures w14:val="none"/>
        </w:rPr>
      </w:pPr>
      <w:r w:rsidRPr="00CD411E">
        <w:rPr>
          <w:rFonts w:ascii="Times New Roman" w:eastAsia="Times New Roman" w:hAnsi="Times New Roman" w:cs="Times New Roman"/>
          <w:kern w:val="0"/>
          <w:lang w:eastAsia="en-GB"/>
          <w14:ligatures w14:val="none"/>
        </w:rPr>
        <w:t xml:space="preserve">In 2026, four years </w:t>
      </w:r>
      <w:r w:rsidR="005A25DE" w:rsidRPr="00CD411E">
        <w:rPr>
          <w:rFonts w:ascii="Times New Roman" w:eastAsia="Times New Roman" w:hAnsi="Times New Roman" w:cs="Times New Roman"/>
          <w:kern w:val="0"/>
          <w:lang w:eastAsia="en-GB"/>
          <w14:ligatures w14:val="none"/>
        </w:rPr>
        <w:t xml:space="preserve">away </w:t>
      </w:r>
      <w:r w:rsidRPr="00CD411E">
        <w:rPr>
          <w:rFonts w:ascii="Times New Roman" w:eastAsia="Times New Roman" w:hAnsi="Times New Roman" w:cs="Times New Roman"/>
          <w:kern w:val="0"/>
          <w:lang w:eastAsia="en-GB"/>
          <w14:ligatures w14:val="none"/>
        </w:rPr>
        <w:t xml:space="preserve">from </w:t>
      </w:r>
      <w:r w:rsidR="00A91FA8" w:rsidRPr="00CD411E">
        <w:rPr>
          <w:rFonts w:ascii="Times New Roman" w:eastAsia="Times New Roman" w:hAnsi="Times New Roman" w:cs="Times New Roman"/>
          <w:kern w:val="0"/>
          <w:lang w:eastAsia="en-GB"/>
          <w14:ligatures w14:val="none"/>
        </w:rPr>
        <w:t xml:space="preserve">the date of </w:t>
      </w:r>
      <w:r w:rsidRPr="00CD411E">
        <w:rPr>
          <w:rFonts w:ascii="Times New Roman" w:eastAsia="Times New Roman" w:hAnsi="Times New Roman" w:cs="Times New Roman"/>
          <w:kern w:val="0"/>
          <w:lang w:eastAsia="en-GB"/>
          <w14:ligatures w14:val="none"/>
        </w:rPr>
        <w:t>implementation of the 2030 Agenda for Sustainable Developmen</w:t>
      </w:r>
      <w:r w:rsidR="00DD0A98" w:rsidRPr="00CD411E">
        <w:rPr>
          <w:rFonts w:ascii="Times New Roman" w:eastAsia="Times New Roman" w:hAnsi="Times New Roman" w:cs="Times New Roman"/>
          <w:kern w:val="0"/>
          <w:lang w:eastAsia="en-GB"/>
          <w14:ligatures w14:val="none"/>
        </w:rPr>
        <w:t>t</w:t>
      </w:r>
      <w:r w:rsidR="00A91FA8" w:rsidRPr="00CD411E">
        <w:rPr>
          <w:rFonts w:ascii="Times New Roman" w:eastAsia="Times New Roman" w:hAnsi="Times New Roman" w:cs="Times New Roman"/>
          <w:kern w:val="0"/>
          <w:lang w:eastAsia="en-GB"/>
          <w14:ligatures w14:val="none"/>
        </w:rPr>
        <w:t>,</w:t>
      </w:r>
      <w:r w:rsidRPr="00CD411E">
        <w:rPr>
          <w:rFonts w:ascii="Times New Roman" w:eastAsia="Times New Roman" w:hAnsi="Times New Roman" w:cs="Times New Roman"/>
          <w:kern w:val="0"/>
          <w:lang w:eastAsia="en-GB"/>
          <w14:ligatures w14:val="none"/>
        </w:rPr>
        <w:t xml:space="preserve"> it is increasingly clear that addressing the systemic exclusion and marginalisation of older </w:t>
      </w:r>
      <w:r w:rsidR="00A91FA8" w:rsidRPr="00CD411E">
        <w:rPr>
          <w:rFonts w:ascii="Times New Roman" w:eastAsia="Times New Roman" w:hAnsi="Times New Roman" w:cs="Times New Roman"/>
          <w:kern w:val="0"/>
          <w:lang w:eastAsia="en-GB"/>
          <w14:ligatures w14:val="none"/>
        </w:rPr>
        <w:t>women a</w:t>
      </w:r>
      <w:r w:rsidR="00CD411E" w:rsidRPr="00CD411E">
        <w:rPr>
          <w:rFonts w:ascii="Times New Roman" w:eastAsia="Times New Roman" w:hAnsi="Times New Roman" w:cs="Times New Roman"/>
          <w:kern w:val="0"/>
          <w:lang w:eastAsia="en-GB"/>
          <w14:ligatures w14:val="none"/>
        </w:rPr>
        <w:t>n</w:t>
      </w:r>
      <w:r w:rsidR="00A91FA8" w:rsidRPr="00CD411E">
        <w:rPr>
          <w:rFonts w:ascii="Times New Roman" w:eastAsia="Times New Roman" w:hAnsi="Times New Roman" w:cs="Times New Roman"/>
          <w:kern w:val="0"/>
          <w:lang w:eastAsia="en-GB"/>
          <w14:ligatures w14:val="none"/>
        </w:rPr>
        <w:t xml:space="preserve">d older men </w:t>
      </w:r>
      <w:r w:rsidRPr="00CD411E">
        <w:rPr>
          <w:rFonts w:ascii="Times New Roman" w:eastAsia="Times New Roman" w:hAnsi="Times New Roman" w:cs="Times New Roman"/>
          <w:kern w:val="0"/>
          <w:lang w:eastAsia="en-GB"/>
          <w14:ligatures w14:val="none"/>
        </w:rPr>
        <w:t xml:space="preserve">is essential to achieving </w:t>
      </w:r>
      <w:r w:rsidR="00A91FA8" w:rsidRPr="00CD411E">
        <w:rPr>
          <w:rFonts w:ascii="Times New Roman" w:eastAsia="Times New Roman" w:hAnsi="Times New Roman" w:cs="Times New Roman"/>
          <w:kern w:val="0"/>
          <w:lang w:eastAsia="en-GB"/>
          <w14:ligatures w14:val="none"/>
        </w:rPr>
        <w:t>the Sustainable</w:t>
      </w:r>
      <w:r w:rsidRPr="00CD411E">
        <w:rPr>
          <w:rFonts w:ascii="Times New Roman" w:eastAsia="Times New Roman" w:hAnsi="Times New Roman" w:cs="Times New Roman"/>
          <w:kern w:val="0"/>
          <w:lang w:eastAsia="en-GB"/>
          <w14:ligatures w14:val="none"/>
        </w:rPr>
        <w:t xml:space="preserve"> </w:t>
      </w:r>
      <w:r w:rsidR="00A91FA8" w:rsidRPr="00CD411E">
        <w:rPr>
          <w:rFonts w:ascii="Times New Roman" w:eastAsia="Times New Roman" w:hAnsi="Times New Roman" w:cs="Times New Roman"/>
          <w:kern w:val="0"/>
          <w:lang w:eastAsia="en-GB"/>
          <w14:ligatures w14:val="none"/>
        </w:rPr>
        <w:t>D</w:t>
      </w:r>
      <w:r w:rsidRPr="00CD411E">
        <w:rPr>
          <w:rFonts w:ascii="Times New Roman" w:eastAsia="Times New Roman" w:hAnsi="Times New Roman" w:cs="Times New Roman"/>
          <w:kern w:val="0"/>
          <w:lang w:eastAsia="en-GB"/>
          <w14:ligatures w14:val="none"/>
        </w:rPr>
        <w:t xml:space="preserve">evelopment </w:t>
      </w:r>
      <w:r w:rsidR="00A91FA8" w:rsidRPr="00CD411E">
        <w:rPr>
          <w:rFonts w:ascii="Times New Roman" w:eastAsia="Times New Roman" w:hAnsi="Times New Roman" w:cs="Times New Roman"/>
          <w:kern w:val="0"/>
          <w:lang w:eastAsia="en-GB"/>
          <w14:ligatures w14:val="none"/>
        </w:rPr>
        <w:t>Goals</w:t>
      </w:r>
      <w:r w:rsidRPr="00CD411E">
        <w:rPr>
          <w:rFonts w:ascii="Times New Roman" w:eastAsia="Times New Roman" w:hAnsi="Times New Roman" w:cs="Times New Roman"/>
          <w:kern w:val="0"/>
          <w:lang w:eastAsia="en-GB"/>
          <w14:ligatures w14:val="none"/>
        </w:rPr>
        <w:t>.</w:t>
      </w:r>
    </w:p>
    <w:p w14:paraId="1F359553" w14:textId="2C079DD0" w:rsidR="00FB05B3" w:rsidRPr="00CD411E" w:rsidRDefault="00FB05B3" w:rsidP="00FB05B3">
      <w:pPr>
        <w:spacing w:line="240" w:lineRule="auto"/>
        <w:jc w:val="center"/>
        <w:rPr>
          <w:rFonts w:ascii="Times New Roman" w:eastAsia="Times New Roman" w:hAnsi="Times New Roman" w:cs="Times New Roman"/>
          <w:b/>
          <w:bCs/>
          <w:kern w:val="0"/>
          <w:lang w:eastAsia="en-GB"/>
          <w14:ligatures w14:val="none"/>
        </w:rPr>
      </w:pPr>
      <w:r w:rsidRPr="00CD411E">
        <w:rPr>
          <w:rFonts w:ascii="Times New Roman" w:eastAsia="Times New Roman" w:hAnsi="Times New Roman" w:cs="Times New Roman"/>
          <w:b/>
          <w:bCs/>
          <w:kern w:val="0"/>
          <w:lang w:eastAsia="en-GB"/>
          <w14:ligatures w14:val="none"/>
        </w:rPr>
        <w:t>Narrative</w:t>
      </w:r>
    </w:p>
    <w:p w14:paraId="5250DA2B" w14:textId="4AA2CD9B" w:rsidR="00012468" w:rsidRPr="00CD411E" w:rsidRDefault="00A23F23" w:rsidP="00A007DB">
      <w:pPr>
        <w:pStyle w:val="ListParagraph"/>
        <w:numPr>
          <w:ilvl w:val="0"/>
          <w:numId w:val="13"/>
        </w:numPr>
        <w:spacing w:before="120" w:after="120" w:line="240" w:lineRule="auto"/>
        <w:ind w:left="0" w:firstLine="0"/>
        <w:contextualSpacing w:val="0"/>
        <w:rPr>
          <w:rFonts w:ascii="Times New Roman" w:eastAsia="Times New Roman" w:hAnsi="Times New Roman" w:cs="Times New Roman"/>
          <w:kern w:val="0"/>
          <w:lang w:eastAsia="en-GB"/>
          <w14:ligatures w14:val="none"/>
        </w:rPr>
      </w:pPr>
      <w:r w:rsidRPr="00CD411E">
        <w:rPr>
          <w:rFonts w:ascii="Times New Roman" w:eastAsia="Times New Roman" w:hAnsi="Times New Roman" w:cs="Times New Roman"/>
          <w:kern w:val="0"/>
          <w:lang w:eastAsia="en-GB"/>
          <w14:ligatures w14:val="none"/>
        </w:rPr>
        <w:t>Despite their numb</w:t>
      </w:r>
      <w:r w:rsidR="005A25DE" w:rsidRPr="00CD411E">
        <w:rPr>
          <w:rFonts w:ascii="Times New Roman" w:eastAsia="Times New Roman" w:hAnsi="Times New Roman" w:cs="Times New Roman"/>
          <w:kern w:val="0"/>
          <w:lang w:eastAsia="en-GB"/>
          <w14:ligatures w14:val="none"/>
        </w:rPr>
        <w:t>er</w:t>
      </w:r>
      <w:r w:rsidRPr="00CD411E">
        <w:rPr>
          <w:rFonts w:ascii="Times New Roman" w:eastAsia="Times New Roman" w:hAnsi="Times New Roman" w:cs="Times New Roman"/>
          <w:kern w:val="0"/>
          <w:lang w:eastAsia="en-GB"/>
          <w14:ligatures w14:val="none"/>
        </w:rPr>
        <w:t>s increasing in all countries and regions of the world</w:t>
      </w:r>
      <w:r w:rsidR="005A25DE" w:rsidRPr="00CD411E">
        <w:rPr>
          <w:rFonts w:ascii="Times New Roman" w:eastAsia="Times New Roman" w:hAnsi="Times New Roman" w:cs="Times New Roman"/>
          <w:kern w:val="0"/>
          <w:lang w:eastAsia="en-GB"/>
          <w14:ligatures w14:val="none"/>
        </w:rPr>
        <w:t>,</w:t>
      </w:r>
      <w:r w:rsidRPr="00CD411E">
        <w:rPr>
          <w:rFonts w:ascii="Times New Roman" w:eastAsia="Times New Roman" w:hAnsi="Times New Roman" w:cs="Times New Roman"/>
          <w:kern w:val="0"/>
          <w:lang w:eastAsia="en-GB"/>
          <w14:ligatures w14:val="none"/>
        </w:rPr>
        <w:t xml:space="preserve"> o</w:t>
      </w:r>
      <w:r w:rsidR="00A91FA8" w:rsidRPr="00CD411E">
        <w:rPr>
          <w:rFonts w:ascii="Times New Roman" w:eastAsia="Times New Roman" w:hAnsi="Times New Roman" w:cs="Times New Roman"/>
          <w:kern w:val="0"/>
          <w:lang w:eastAsia="en-GB"/>
          <w14:ligatures w14:val="none"/>
        </w:rPr>
        <w:t xml:space="preserve">lder women and older men are </w:t>
      </w:r>
      <w:r w:rsidRPr="00CD411E">
        <w:rPr>
          <w:rFonts w:ascii="Times New Roman" w:eastAsia="Times New Roman" w:hAnsi="Times New Roman" w:cs="Times New Roman"/>
          <w:kern w:val="0"/>
          <w:lang w:eastAsia="en-GB"/>
          <w14:ligatures w14:val="none"/>
        </w:rPr>
        <w:t xml:space="preserve">still </w:t>
      </w:r>
      <w:r w:rsidR="00A91FA8" w:rsidRPr="00CD411E">
        <w:rPr>
          <w:rFonts w:ascii="Times New Roman" w:eastAsia="Times New Roman" w:hAnsi="Times New Roman" w:cs="Times New Roman"/>
          <w:kern w:val="0"/>
          <w:lang w:eastAsia="en-GB"/>
          <w14:ligatures w14:val="none"/>
        </w:rPr>
        <w:t xml:space="preserve">being excluded and left behind in </w:t>
      </w:r>
      <w:r w:rsidR="00BF4753" w:rsidRPr="00CD411E">
        <w:rPr>
          <w:rFonts w:ascii="Times New Roman" w:eastAsia="Times New Roman" w:hAnsi="Times New Roman" w:cs="Times New Roman"/>
          <w:kern w:val="0"/>
          <w:lang w:eastAsia="en-GB"/>
          <w14:ligatures w14:val="none"/>
        </w:rPr>
        <w:t xml:space="preserve">too many </w:t>
      </w:r>
      <w:r w:rsidR="00A91FA8" w:rsidRPr="00CD411E">
        <w:rPr>
          <w:rFonts w:ascii="Times New Roman" w:eastAsia="Times New Roman" w:hAnsi="Times New Roman" w:cs="Times New Roman"/>
          <w:kern w:val="0"/>
          <w:lang w:eastAsia="en-GB"/>
          <w14:ligatures w14:val="none"/>
        </w:rPr>
        <w:t>SDG programmes</w:t>
      </w:r>
      <w:r w:rsidRPr="00CD411E">
        <w:rPr>
          <w:rFonts w:ascii="Times New Roman" w:eastAsia="Times New Roman" w:hAnsi="Times New Roman" w:cs="Times New Roman"/>
          <w:kern w:val="0"/>
          <w:lang w:eastAsia="en-GB"/>
          <w14:ligatures w14:val="none"/>
        </w:rPr>
        <w:t>, policies and budg</w:t>
      </w:r>
      <w:r w:rsidR="00BF4753" w:rsidRPr="00CD411E">
        <w:rPr>
          <w:rFonts w:ascii="Times New Roman" w:eastAsia="Times New Roman" w:hAnsi="Times New Roman" w:cs="Times New Roman"/>
          <w:kern w:val="0"/>
          <w:lang w:eastAsia="en-GB"/>
          <w14:ligatures w14:val="none"/>
        </w:rPr>
        <w:t>e</w:t>
      </w:r>
      <w:r w:rsidRPr="00CD411E">
        <w:rPr>
          <w:rFonts w:ascii="Times New Roman" w:eastAsia="Times New Roman" w:hAnsi="Times New Roman" w:cs="Times New Roman"/>
          <w:kern w:val="0"/>
          <w:lang w:eastAsia="en-GB"/>
          <w14:ligatures w14:val="none"/>
        </w:rPr>
        <w:t>ts. Ag</w:t>
      </w:r>
      <w:r w:rsidR="00A91FA8" w:rsidRPr="00CD411E">
        <w:rPr>
          <w:rFonts w:ascii="Times New Roman" w:eastAsia="Times New Roman" w:hAnsi="Times New Roman" w:cs="Times New Roman"/>
          <w:kern w:val="0"/>
          <w:lang w:eastAsia="en-GB"/>
          <w14:ligatures w14:val="none"/>
        </w:rPr>
        <w:t xml:space="preserve">e </w:t>
      </w:r>
      <w:r w:rsidRPr="00CD411E">
        <w:rPr>
          <w:rFonts w:ascii="Times New Roman" w:eastAsia="Times New Roman" w:hAnsi="Times New Roman" w:cs="Times New Roman"/>
          <w:kern w:val="0"/>
          <w:lang w:eastAsia="en-GB"/>
          <w14:ligatures w14:val="none"/>
        </w:rPr>
        <w:t xml:space="preserve">is </w:t>
      </w:r>
      <w:r w:rsidR="00A91FA8" w:rsidRPr="00CD411E">
        <w:rPr>
          <w:rFonts w:ascii="Times New Roman" w:eastAsia="Times New Roman" w:hAnsi="Times New Roman" w:cs="Times New Roman"/>
          <w:kern w:val="0"/>
          <w:lang w:eastAsia="en-GB"/>
          <w14:ligatures w14:val="none"/>
        </w:rPr>
        <w:t>not visible enough in the data used to monitor them</w:t>
      </w:r>
      <w:r w:rsidRPr="00CD411E">
        <w:rPr>
          <w:rFonts w:ascii="Times New Roman" w:eastAsia="Times New Roman" w:hAnsi="Times New Roman" w:cs="Times New Roman"/>
          <w:kern w:val="0"/>
          <w:lang w:eastAsia="en-GB"/>
          <w14:ligatures w14:val="none"/>
        </w:rPr>
        <w:t xml:space="preserve">. </w:t>
      </w:r>
      <w:r w:rsidR="00A91FA8" w:rsidRPr="00CD411E">
        <w:rPr>
          <w:rFonts w:ascii="Times New Roman" w:eastAsia="Times New Roman" w:hAnsi="Times New Roman" w:cs="Times New Roman"/>
          <w:kern w:val="0"/>
          <w:lang w:eastAsia="en-GB"/>
          <w14:ligatures w14:val="none"/>
        </w:rPr>
        <w:t xml:space="preserve"> This is why the </w:t>
      </w:r>
      <w:r w:rsidR="00012468" w:rsidRPr="00CD411E">
        <w:rPr>
          <w:rFonts w:ascii="Times New Roman" w:eastAsia="Times New Roman" w:hAnsi="Times New Roman" w:cs="Times New Roman"/>
          <w:kern w:val="0"/>
          <w:lang w:eastAsia="en-GB"/>
          <w14:ligatures w14:val="none"/>
        </w:rPr>
        <w:t xml:space="preserve">Stakeholder Group on Ageing (SGA) </w:t>
      </w:r>
      <w:r w:rsidR="005A25DE" w:rsidRPr="00CD411E">
        <w:rPr>
          <w:rFonts w:ascii="Times New Roman" w:eastAsia="Times New Roman" w:hAnsi="Times New Roman" w:cs="Times New Roman"/>
          <w:kern w:val="0"/>
          <w:lang w:eastAsia="en-GB"/>
          <w14:ligatures w14:val="none"/>
        </w:rPr>
        <w:t>calls for</w:t>
      </w:r>
      <w:r w:rsidR="00012468" w:rsidRPr="00CD411E">
        <w:rPr>
          <w:rFonts w:ascii="Times New Roman" w:eastAsia="Times New Roman" w:hAnsi="Times New Roman" w:cs="Times New Roman"/>
          <w:kern w:val="0"/>
          <w:lang w:eastAsia="en-GB"/>
          <w14:ligatures w14:val="none"/>
        </w:rPr>
        <w:t xml:space="preserve"> coordinated and innovative action by local authorities, governments, civil society, and relevant United Nations agencies and </w:t>
      </w:r>
      <w:r w:rsidR="00A91FA8" w:rsidRPr="00CD411E">
        <w:rPr>
          <w:rFonts w:ascii="Times New Roman" w:eastAsia="Times New Roman" w:hAnsi="Times New Roman" w:cs="Times New Roman"/>
          <w:kern w:val="0"/>
          <w:lang w:eastAsia="en-GB"/>
          <w14:ligatures w14:val="none"/>
        </w:rPr>
        <w:t>entities</w:t>
      </w:r>
      <w:r w:rsidR="00012468" w:rsidRPr="00CD411E">
        <w:rPr>
          <w:rFonts w:ascii="Times New Roman" w:eastAsia="Times New Roman" w:hAnsi="Times New Roman" w:cs="Times New Roman"/>
          <w:kern w:val="0"/>
          <w:lang w:eastAsia="en-GB"/>
          <w14:ligatures w14:val="none"/>
        </w:rPr>
        <w:t xml:space="preserve">—including DESA and the Office of the High Commissioner for Human Rights (OHCHR)—to ensure that </w:t>
      </w:r>
      <w:r w:rsidR="00A91FA8" w:rsidRPr="00CD411E">
        <w:rPr>
          <w:rFonts w:ascii="Times New Roman" w:eastAsia="Times New Roman" w:hAnsi="Times New Roman" w:cs="Times New Roman"/>
          <w:kern w:val="0"/>
          <w:lang w:eastAsia="en-GB"/>
          <w14:ligatures w14:val="none"/>
        </w:rPr>
        <w:t xml:space="preserve">age is not a </w:t>
      </w:r>
      <w:r w:rsidR="00BA6ACD" w:rsidRPr="00CD411E">
        <w:rPr>
          <w:rFonts w:ascii="Times New Roman" w:eastAsia="Times New Roman" w:hAnsi="Times New Roman" w:cs="Times New Roman"/>
          <w:kern w:val="0"/>
          <w:lang w:eastAsia="en-GB"/>
          <w14:ligatures w14:val="none"/>
        </w:rPr>
        <w:t>factor that increases the probability of</w:t>
      </w:r>
      <w:r w:rsidR="00A91FA8" w:rsidRPr="00CD411E">
        <w:rPr>
          <w:rFonts w:ascii="Times New Roman" w:eastAsia="Times New Roman" w:hAnsi="Times New Roman" w:cs="Times New Roman"/>
          <w:kern w:val="0"/>
          <w:lang w:eastAsia="en-GB"/>
          <w14:ligatures w14:val="none"/>
        </w:rPr>
        <w:t xml:space="preserve"> being left behind.</w:t>
      </w:r>
      <w:r w:rsidR="00012468" w:rsidRPr="00CD411E">
        <w:rPr>
          <w:rFonts w:ascii="Times New Roman" w:eastAsia="Times New Roman" w:hAnsi="Times New Roman" w:cs="Times New Roman"/>
          <w:kern w:val="0"/>
          <w:lang w:eastAsia="en-GB"/>
          <w14:ligatures w14:val="none"/>
        </w:rPr>
        <w:t xml:space="preserve"> </w:t>
      </w:r>
    </w:p>
    <w:p w14:paraId="7C2EDC16" w14:textId="603F865E" w:rsidR="00F26D7A" w:rsidRPr="00CD411E" w:rsidRDefault="00A91FA8" w:rsidP="00A007DB">
      <w:pPr>
        <w:pStyle w:val="ListParagraph"/>
        <w:numPr>
          <w:ilvl w:val="0"/>
          <w:numId w:val="13"/>
        </w:numPr>
        <w:spacing w:before="120" w:after="120" w:line="240" w:lineRule="auto"/>
        <w:ind w:left="0" w:firstLine="0"/>
        <w:contextualSpacing w:val="0"/>
        <w:rPr>
          <w:rFonts w:ascii="Times New Roman" w:eastAsia="Times New Roman" w:hAnsi="Times New Roman" w:cs="Times New Roman"/>
          <w:kern w:val="0"/>
          <w:lang w:eastAsia="en-GB"/>
          <w14:ligatures w14:val="none"/>
        </w:rPr>
      </w:pPr>
      <w:r w:rsidRPr="00CD411E">
        <w:rPr>
          <w:rFonts w:ascii="Times New Roman" w:eastAsia="Times New Roman" w:hAnsi="Times New Roman" w:cs="Times New Roman"/>
          <w:kern w:val="0"/>
          <w:lang w:eastAsia="en-GB"/>
          <w14:ligatures w14:val="none"/>
        </w:rPr>
        <w:t xml:space="preserve">The SGA draws attention to </w:t>
      </w:r>
      <w:r w:rsidR="00DD0A98" w:rsidRPr="00CD411E">
        <w:rPr>
          <w:rFonts w:ascii="Times New Roman" w:eastAsia="Times New Roman" w:hAnsi="Times New Roman" w:cs="Times New Roman"/>
          <w:kern w:val="0"/>
          <w:lang w:eastAsia="en-GB"/>
          <w14:ligatures w14:val="none"/>
        </w:rPr>
        <w:t xml:space="preserve">linkages between </w:t>
      </w:r>
      <w:r w:rsidRPr="00CD411E">
        <w:rPr>
          <w:rFonts w:ascii="Times New Roman" w:eastAsia="Times New Roman" w:hAnsi="Times New Roman" w:cs="Times New Roman"/>
          <w:kern w:val="0"/>
          <w:lang w:eastAsia="en-GB"/>
          <w14:ligatures w14:val="none"/>
        </w:rPr>
        <w:t>age and sustainable development</w:t>
      </w:r>
      <w:r w:rsidR="00DD0A98" w:rsidRPr="00CD411E">
        <w:rPr>
          <w:rFonts w:ascii="Times New Roman" w:eastAsia="Times New Roman" w:hAnsi="Times New Roman" w:cs="Times New Roman"/>
          <w:kern w:val="0"/>
          <w:lang w:eastAsia="en-GB"/>
          <w14:ligatures w14:val="none"/>
        </w:rPr>
        <w:t xml:space="preserve"> and </w:t>
      </w:r>
      <w:r w:rsidR="00E364BA" w:rsidRPr="00CD411E">
        <w:rPr>
          <w:rFonts w:ascii="Times New Roman" w:eastAsia="Times New Roman" w:hAnsi="Times New Roman" w:cs="Times New Roman"/>
          <w:kern w:val="0"/>
          <w:lang w:eastAsia="en-GB"/>
          <w14:ligatures w14:val="none"/>
        </w:rPr>
        <w:t>to how</w:t>
      </w:r>
      <w:r w:rsidR="00DD0A98" w:rsidRPr="00CD411E">
        <w:rPr>
          <w:rFonts w:ascii="Times New Roman" w:eastAsia="Times New Roman" w:hAnsi="Times New Roman" w:cs="Times New Roman"/>
          <w:kern w:val="0"/>
          <w:lang w:eastAsia="en-GB"/>
          <w14:ligatures w14:val="none"/>
        </w:rPr>
        <w:t xml:space="preserve"> linkages are  </w:t>
      </w:r>
      <w:r w:rsidR="00F26D7A" w:rsidRPr="00CD411E">
        <w:rPr>
          <w:rFonts w:ascii="Times New Roman" w:eastAsia="Times New Roman" w:hAnsi="Times New Roman" w:cs="Times New Roman"/>
          <w:kern w:val="0"/>
          <w:lang w:eastAsia="en-GB"/>
          <w14:ligatures w14:val="none"/>
        </w:rPr>
        <w:t xml:space="preserve"> reflected across </w:t>
      </w:r>
      <w:r w:rsidR="00DD0A98" w:rsidRPr="00CD411E">
        <w:rPr>
          <w:rFonts w:ascii="Times New Roman" w:eastAsia="Times New Roman" w:hAnsi="Times New Roman" w:cs="Times New Roman"/>
          <w:kern w:val="0"/>
          <w:lang w:eastAsia="en-GB"/>
          <w14:ligatures w14:val="none"/>
        </w:rPr>
        <w:t xml:space="preserve">a range </w:t>
      </w:r>
      <w:r w:rsidR="00E364BA" w:rsidRPr="00CD411E">
        <w:rPr>
          <w:rFonts w:ascii="Times New Roman" w:eastAsia="Times New Roman" w:hAnsi="Times New Roman" w:cs="Times New Roman"/>
          <w:kern w:val="0"/>
          <w:lang w:eastAsia="en-GB"/>
          <w14:ligatures w14:val="none"/>
        </w:rPr>
        <w:t>of international</w:t>
      </w:r>
      <w:r w:rsidR="00F26D7A" w:rsidRPr="00CD411E">
        <w:rPr>
          <w:rFonts w:ascii="Times New Roman" w:eastAsia="Times New Roman" w:hAnsi="Times New Roman" w:cs="Times New Roman"/>
          <w:kern w:val="0"/>
          <w:lang w:eastAsia="en-GB"/>
          <w14:ligatures w14:val="none"/>
        </w:rPr>
        <w:t xml:space="preserve"> frameworks, including the United Nations Decade of Healthy Ageing, the Pact for the Future, the Doha Political Declaration, and the Madrid International Plan of Action on Ageing, which will mark its 25th anniversary in 2027. </w:t>
      </w:r>
      <w:r w:rsidR="00BA6ACD" w:rsidRPr="00CD411E">
        <w:rPr>
          <w:rFonts w:ascii="Times New Roman" w:eastAsia="Times New Roman" w:hAnsi="Times New Roman" w:cs="Times New Roman"/>
          <w:kern w:val="0"/>
          <w:lang w:eastAsia="en-GB"/>
          <w14:ligatures w14:val="none"/>
        </w:rPr>
        <w:t xml:space="preserve"> </w:t>
      </w:r>
      <w:r w:rsidR="00FB05B3" w:rsidRPr="00CD411E">
        <w:rPr>
          <w:rFonts w:ascii="Times New Roman" w:eastAsia="Times New Roman" w:hAnsi="Times New Roman" w:cs="Times New Roman"/>
          <w:kern w:val="0"/>
          <w:lang w:eastAsia="en-GB"/>
          <w14:ligatures w14:val="none"/>
        </w:rPr>
        <w:t>Linkages are</w:t>
      </w:r>
      <w:r w:rsidR="00F26D7A" w:rsidRPr="00CD411E">
        <w:rPr>
          <w:rFonts w:ascii="Times New Roman" w:eastAsia="Times New Roman" w:hAnsi="Times New Roman" w:cs="Times New Roman"/>
          <w:kern w:val="0"/>
          <w:lang w:eastAsia="en-GB"/>
          <w14:ligatures w14:val="none"/>
        </w:rPr>
        <w:t xml:space="preserve"> also reflected in the ongoing work of the Open-Ended Intergovernmental Working Group on Ageing</w:t>
      </w:r>
      <w:r w:rsidRPr="00CD411E">
        <w:rPr>
          <w:rFonts w:ascii="Times New Roman" w:eastAsia="Times New Roman" w:hAnsi="Times New Roman" w:cs="Times New Roman"/>
          <w:kern w:val="0"/>
          <w:lang w:eastAsia="en-GB"/>
          <w14:ligatures w14:val="none"/>
        </w:rPr>
        <w:t xml:space="preserve"> and </w:t>
      </w:r>
      <w:r w:rsidR="00DD0A98" w:rsidRPr="00CD411E">
        <w:rPr>
          <w:rFonts w:ascii="Times New Roman" w:eastAsia="Times New Roman" w:hAnsi="Times New Roman" w:cs="Times New Roman"/>
          <w:kern w:val="0"/>
          <w:lang w:eastAsia="en-GB"/>
          <w14:ligatures w14:val="none"/>
        </w:rPr>
        <w:t xml:space="preserve">the </w:t>
      </w:r>
      <w:r w:rsidRPr="00CD411E">
        <w:rPr>
          <w:rFonts w:ascii="Times New Roman" w:eastAsia="Times New Roman" w:hAnsi="Times New Roman" w:cs="Times New Roman"/>
          <w:kern w:val="0"/>
          <w:lang w:eastAsia="en-GB"/>
          <w14:ligatures w14:val="none"/>
        </w:rPr>
        <w:t xml:space="preserve">intergovernmental </w:t>
      </w:r>
      <w:r w:rsidR="00F26D7A" w:rsidRPr="00CD411E">
        <w:rPr>
          <w:rFonts w:ascii="Times New Roman" w:eastAsia="Times New Roman" w:hAnsi="Times New Roman" w:cs="Times New Roman"/>
          <w:kern w:val="0"/>
          <w:lang w:eastAsia="en-GB"/>
          <w14:ligatures w14:val="none"/>
        </w:rPr>
        <w:t xml:space="preserve">discussion on the possible development of a United Nations convention on the rights of older persons. </w:t>
      </w:r>
      <w:r w:rsidR="00505386" w:rsidRPr="00CD411E">
        <w:rPr>
          <w:rFonts w:ascii="Times New Roman" w:eastAsia="Times New Roman" w:hAnsi="Times New Roman" w:cs="Times New Roman"/>
          <w:kern w:val="0"/>
          <w:lang w:eastAsia="en-GB"/>
          <w14:ligatures w14:val="none"/>
        </w:rPr>
        <w:t>T</w:t>
      </w:r>
      <w:r w:rsidR="00F26D7A" w:rsidRPr="00CD411E">
        <w:rPr>
          <w:rFonts w:ascii="Times New Roman" w:eastAsia="Times New Roman" w:hAnsi="Times New Roman" w:cs="Times New Roman"/>
          <w:kern w:val="0"/>
          <w:lang w:eastAsia="en-GB"/>
          <w14:ligatures w14:val="none"/>
        </w:rPr>
        <w:t xml:space="preserve">hese frameworks and processes highlight </w:t>
      </w:r>
      <w:r w:rsidR="00505386" w:rsidRPr="00CD411E">
        <w:rPr>
          <w:rFonts w:ascii="Times New Roman" w:eastAsia="Times New Roman" w:hAnsi="Times New Roman" w:cs="Times New Roman"/>
          <w:kern w:val="0"/>
          <w:lang w:eastAsia="en-GB"/>
          <w14:ligatures w14:val="none"/>
        </w:rPr>
        <w:t>how</w:t>
      </w:r>
      <w:r w:rsidR="00F26D7A" w:rsidRPr="00CD411E">
        <w:rPr>
          <w:rFonts w:ascii="Times New Roman" w:eastAsia="Times New Roman" w:hAnsi="Times New Roman" w:cs="Times New Roman"/>
          <w:kern w:val="0"/>
          <w:lang w:eastAsia="en-GB"/>
          <w14:ligatures w14:val="none"/>
        </w:rPr>
        <w:t xml:space="preserve"> inclusive, life-course approaches that recognise ageing </w:t>
      </w:r>
      <w:r w:rsidR="00505386" w:rsidRPr="00CD411E">
        <w:rPr>
          <w:rFonts w:ascii="Times New Roman" w:eastAsia="Times New Roman" w:hAnsi="Times New Roman" w:cs="Times New Roman"/>
          <w:kern w:val="0"/>
          <w:lang w:eastAsia="en-GB"/>
          <w14:ligatures w14:val="none"/>
        </w:rPr>
        <w:t xml:space="preserve">must be </w:t>
      </w:r>
      <w:r w:rsidR="00F26D7A" w:rsidRPr="00CD411E">
        <w:rPr>
          <w:rFonts w:ascii="Times New Roman" w:eastAsia="Times New Roman" w:hAnsi="Times New Roman" w:cs="Times New Roman"/>
          <w:kern w:val="0"/>
          <w:lang w:eastAsia="en-GB"/>
          <w14:ligatures w14:val="none"/>
        </w:rPr>
        <w:t>a cross-cutting dimension of sustainable development.</w:t>
      </w:r>
    </w:p>
    <w:p w14:paraId="4944AFC8" w14:textId="4A4D9B15" w:rsidR="00012468" w:rsidRPr="00CD411E" w:rsidRDefault="00012468" w:rsidP="00A007DB">
      <w:pPr>
        <w:pStyle w:val="ListParagraph"/>
        <w:numPr>
          <w:ilvl w:val="0"/>
          <w:numId w:val="13"/>
        </w:numPr>
        <w:spacing w:before="120" w:after="120" w:line="240" w:lineRule="auto"/>
        <w:ind w:left="0" w:firstLine="0"/>
        <w:contextualSpacing w:val="0"/>
        <w:rPr>
          <w:rFonts w:ascii="Times New Roman" w:eastAsia="Times New Roman" w:hAnsi="Times New Roman" w:cs="Times New Roman"/>
          <w:kern w:val="0"/>
          <w:lang w:eastAsia="en-GB"/>
          <w14:ligatures w14:val="none"/>
        </w:rPr>
      </w:pPr>
      <w:r w:rsidRPr="00CD411E">
        <w:rPr>
          <w:rFonts w:ascii="Times New Roman" w:eastAsia="Times New Roman" w:hAnsi="Times New Roman" w:cs="Times New Roman"/>
          <w:kern w:val="0"/>
          <w:lang w:eastAsia="en-GB"/>
          <w14:ligatures w14:val="none"/>
        </w:rPr>
        <w:t xml:space="preserve">Older persons experience multiple and intersecting forms of discrimination, including ageism, ableism, sexism, racism, and other forms of exclusion. These inequalities are further compounded by physical and spatial barriers—such as inaccessible housing, environmental degradation, inadequate public services, and digital exclusion—which limit participation and undermine progress across </w:t>
      </w:r>
      <w:r w:rsidR="00505386" w:rsidRPr="00CD411E">
        <w:rPr>
          <w:rFonts w:ascii="Times New Roman" w:eastAsia="Times New Roman" w:hAnsi="Times New Roman" w:cs="Times New Roman"/>
          <w:kern w:val="0"/>
          <w:lang w:eastAsia="en-GB"/>
          <w14:ligatures w14:val="none"/>
        </w:rPr>
        <w:t>all</w:t>
      </w:r>
      <w:r w:rsidRPr="00CD411E">
        <w:rPr>
          <w:rFonts w:ascii="Times New Roman" w:eastAsia="Times New Roman" w:hAnsi="Times New Roman" w:cs="Times New Roman"/>
          <w:kern w:val="0"/>
          <w:lang w:eastAsia="en-GB"/>
          <w14:ligatures w14:val="none"/>
        </w:rPr>
        <w:t xml:space="preserve"> Sustainable Development Goals.</w:t>
      </w:r>
    </w:p>
    <w:p w14:paraId="2F5285C9" w14:textId="796F963C" w:rsidR="00DD2354" w:rsidRPr="00CD411E" w:rsidRDefault="00DD0A98" w:rsidP="00A007DB">
      <w:pPr>
        <w:pStyle w:val="ListParagraph"/>
        <w:numPr>
          <w:ilvl w:val="0"/>
          <w:numId w:val="13"/>
        </w:numPr>
        <w:spacing w:before="120" w:after="120" w:line="240" w:lineRule="auto"/>
        <w:ind w:left="0" w:firstLine="0"/>
        <w:contextualSpacing w:val="0"/>
        <w:rPr>
          <w:rFonts w:ascii="Times New Roman" w:eastAsia="Times New Roman" w:hAnsi="Times New Roman" w:cs="Times New Roman"/>
          <w:kern w:val="0"/>
          <w:lang w:eastAsia="en-GB"/>
          <w14:ligatures w14:val="none"/>
        </w:rPr>
      </w:pPr>
      <w:r w:rsidRPr="00CD411E">
        <w:rPr>
          <w:rFonts w:ascii="Times New Roman" w:eastAsia="Times New Roman" w:hAnsi="Times New Roman" w:cs="Times New Roman"/>
          <w:kern w:val="0"/>
          <w:lang w:eastAsia="en-GB"/>
          <w14:ligatures w14:val="none"/>
        </w:rPr>
        <w:t xml:space="preserve">Despite these challenges </w:t>
      </w:r>
      <w:r w:rsidR="00BA6ACD" w:rsidRPr="00CD411E">
        <w:rPr>
          <w:rFonts w:ascii="Times New Roman" w:eastAsia="Times New Roman" w:hAnsi="Times New Roman" w:cs="Times New Roman"/>
          <w:kern w:val="0"/>
          <w:lang w:eastAsia="en-GB"/>
          <w14:ligatures w14:val="none"/>
        </w:rPr>
        <w:t xml:space="preserve">older persons </w:t>
      </w:r>
      <w:r w:rsidR="00505386" w:rsidRPr="00CD411E">
        <w:rPr>
          <w:rFonts w:ascii="Times New Roman" w:eastAsia="Times New Roman" w:hAnsi="Times New Roman" w:cs="Times New Roman"/>
          <w:kern w:val="0"/>
          <w:lang w:eastAsia="en-GB"/>
          <w14:ligatures w14:val="none"/>
        </w:rPr>
        <w:t xml:space="preserve">are </w:t>
      </w:r>
      <w:r w:rsidR="00012468" w:rsidRPr="00CD411E">
        <w:rPr>
          <w:rFonts w:ascii="Times New Roman" w:eastAsia="Times New Roman" w:hAnsi="Times New Roman" w:cs="Times New Roman"/>
          <w:kern w:val="0"/>
          <w:lang w:eastAsia="en-GB"/>
          <w14:ligatures w14:val="none"/>
        </w:rPr>
        <w:t>essential contributors to sustainable development. Their knowledge, experience,</w:t>
      </w:r>
      <w:r w:rsidRPr="00CD411E">
        <w:rPr>
          <w:rFonts w:ascii="Times New Roman" w:eastAsia="Times New Roman" w:hAnsi="Times New Roman" w:cs="Times New Roman"/>
          <w:kern w:val="0"/>
          <w:lang w:eastAsia="en-GB"/>
          <w14:ligatures w14:val="none"/>
        </w:rPr>
        <w:t xml:space="preserve"> care responsibilities for young and old </w:t>
      </w:r>
      <w:r w:rsidR="00012468" w:rsidRPr="00CD411E">
        <w:rPr>
          <w:rFonts w:ascii="Times New Roman" w:eastAsia="Times New Roman" w:hAnsi="Times New Roman" w:cs="Times New Roman"/>
          <w:kern w:val="0"/>
          <w:lang w:eastAsia="en-GB"/>
          <w14:ligatures w14:val="none"/>
        </w:rPr>
        <w:t>and social engagement strengthen families, communities, and economies</w:t>
      </w:r>
      <w:r w:rsidRPr="00CD411E">
        <w:rPr>
          <w:rFonts w:ascii="Times New Roman" w:eastAsia="Times New Roman" w:hAnsi="Times New Roman" w:cs="Times New Roman"/>
          <w:kern w:val="0"/>
          <w:lang w:eastAsia="en-GB"/>
          <w14:ligatures w14:val="none"/>
        </w:rPr>
        <w:t xml:space="preserve">. They </w:t>
      </w:r>
      <w:r w:rsidR="00012468" w:rsidRPr="00CD411E">
        <w:rPr>
          <w:rFonts w:ascii="Times New Roman" w:eastAsia="Times New Roman" w:hAnsi="Times New Roman" w:cs="Times New Roman"/>
          <w:kern w:val="0"/>
          <w:lang w:eastAsia="en-GB"/>
          <w14:ligatures w14:val="none"/>
        </w:rPr>
        <w:t xml:space="preserve">support social cohesion and intergenerational solidarity. </w:t>
      </w:r>
    </w:p>
    <w:p w14:paraId="1C9CBC4D" w14:textId="44A29C17" w:rsidR="00DD2354" w:rsidRPr="00CD411E" w:rsidRDefault="00505386" w:rsidP="00DD2354">
      <w:pPr>
        <w:pStyle w:val="ListParagraph"/>
        <w:numPr>
          <w:ilvl w:val="0"/>
          <w:numId w:val="13"/>
        </w:numPr>
        <w:spacing w:before="120" w:after="120" w:line="240" w:lineRule="auto"/>
        <w:ind w:left="0" w:firstLine="0"/>
        <w:contextualSpacing w:val="0"/>
        <w:rPr>
          <w:rFonts w:ascii="Times New Roman" w:eastAsia="Times New Roman" w:hAnsi="Times New Roman" w:cs="Times New Roman"/>
          <w:kern w:val="0"/>
          <w:lang w:eastAsia="en-GB"/>
          <w14:ligatures w14:val="none"/>
        </w:rPr>
      </w:pPr>
      <w:r w:rsidRPr="00CD411E">
        <w:rPr>
          <w:rFonts w:ascii="Times New Roman" w:eastAsia="Times New Roman" w:hAnsi="Times New Roman" w:cs="Times New Roman"/>
          <w:kern w:val="0"/>
          <w:lang w:eastAsia="en-GB"/>
          <w14:ligatures w14:val="none"/>
        </w:rPr>
        <w:t>Older persons</w:t>
      </w:r>
      <w:r w:rsidR="00331826" w:rsidRPr="00CD411E">
        <w:rPr>
          <w:rFonts w:ascii="Times New Roman" w:eastAsia="Times New Roman" w:hAnsi="Times New Roman" w:cs="Times New Roman"/>
          <w:kern w:val="0"/>
          <w:lang w:eastAsia="en-GB"/>
          <w14:ligatures w14:val="none"/>
        </w:rPr>
        <w:t>’</w:t>
      </w:r>
      <w:r w:rsidRPr="00CD411E">
        <w:rPr>
          <w:rFonts w:ascii="Times New Roman" w:eastAsia="Times New Roman" w:hAnsi="Times New Roman" w:cs="Times New Roman"/>
          <w:kern w:val="0"/>
          <w:lang w:eastAsia="en-GB"/>
          <w14:ligatures w14:val="none"/>
        </w:rPr>
        <w:t xml:space="preserve"> active inclusion and participation in</w:t>
      </w:r>
      <w:r w:rsidR="00012468" w:rsidRPr="00CD411E">
        <w:rPr>
          <w:rFonts w:ascii="Times New Roman" w:eastAsia="Times New Roman" w:hAnsi="Times New Roman" w:cs="Times New Roman"/>
          <w:kern w:val="0"/>
          <w:lang w:eastAsia="en-GB"/>
          <w14:ligatures w14:val="none"/>
        </w:rPr>
        <w:t xml:space="preserve"> decision-making processes </w:t>
      </w:r>
      <w:r w:rsidRPr="00CD411E">
        <w:rPr>
          <w:rFonts w:ascii="Times New Roman" w:eastAsia="Times New Roman" w:hAnsi="Times New Roman" w:cs="Times New Roman"/>
          <w:kern w:val="0"/>
          <w:lang w:eastAsia="en-GB"/>
          <w14:ligatures w14:val="none"/>
        </w:rPr>
        <w:t xml:space="preserve">delivers better policies and more </w:t>
      </w:r>
      <w:r w:rsidR="00331826" w:rsidRPr="00CD411E">
        <w:rPr>
          <w:rFonts w:ascii="Times New Roman" w:eastAsia="Times New Roman" w:hAnsi="Times New Roman" w:cs="Times New Roman"/>
          <w:kern w:val="0"/>
          <w:lang w:eastAsia="en-GB"/>
          <w14:ligatures w14:val="none"/>
        </w:rPr>
        <w:t>effective</w:t>
      </w:r>
      <w:r w:rsidR="00012468" w:rsidRPr="00CD411E">
        <w:rPr>
          <w:rFonts w:ascii="Times New Roman" w:eastAsia="Times New Roman" w:hAnsi="Times New Roman" w:cs="Times New Roman"/>
          <w:kern w:val="0"/>
          <w:lang w:eastAsia="en-GB"/>
          <w14:ligatures w14:val="none"/>
        </w:rPr>
        <w:t xml:space="preserve"> </w:t>
      </w:r>
      <w:r w:rsidRPr="00CD411E">
        <w:rPr>
          <w:rFonts w:ascii="Times New Roman" w:eastAsia="Times New Roman" w:hAnsi="Times New Roman" w:cs="Times New Roman"/>
          <w:kern w:val="0"/>
          <w:lang w:eastAsia="en-GB"/>
          <w14:ligatures w14:val="none"/>
        </w:rPr>
        <w:t>SDG implementation.</w:t>
      </w:r>
      <w:r w:rsidR="00DD2354" w:rsidRPr="00CD411E">
        <w:rPr>
          <w:rFonts w:ascii="Times New Roman" w:eastAsia="Times New Roman" w:hAnsi="Times New Roman" w:cs="Times New Roman"/>
          <w:kern w:val="0"/>
          <w:lang w:eastAsia="en-GB"/>
          <w14:ligatures w14:val="none"/>
        </w:rPr>
        <w:t xml:space="preserve"> This calls for the </w:t>
      </w:r>
      <w:r w:rsidR="00012468" w:rsidRPr="00CD411E">
        <w:rPr>
          <w:rFonts w:ascii="Times New Roman" w:eastAsia="Times New Roman" w:hAnsi="Times New Roman" w:cs="Times New Roman"/>
          <w:kern w:val="0"/>
          <w:lang w:eastAsia="en-GB"/>
          <w14:ligatures w14:val="none"/>
        </w:rPr>
        <w:t>life-course approach to sustainable development</w:t>
      </w:r>
      <w:r w:rsidRPr="00CD411E">
        <w:rPr>
          <w:rFonts w:ascii="Times New Roman" w:eastAsia="Times New Roman" w:hAnsi="Times New Roman" w:cs="Times New Roman"/>
          <w:kern w:val="0"/>
          <w:lang w:eastAsia="en-GB"/>
          <w14:ligatures w14:val="none"/>
        </w:rPr>
        <w:t xml:space="preserve"> policies, programmes and budgets</w:t>
      </w:r>
      <w:r w:rsidR="00331826" w:rsidRPr="00CD411E">
        <w:rPr>
          <w:rFonts w:ascii="Times New Roman" w:eastAsia="Times New Roman" w:hAnsi="Times New Roman" w:cs="Times New Roman"/>
          <w:kern w:val="0"/>
          <w:lang w:eastAsia="en-GB"/>
          <w14:ligatures w14:val="none"/>
        </w:rPr>
        <w:t xml:space="preserve">.  </w:t>
      </w:r>
      <w:r w:rsidR="00DD2354" w:rsidRPr="00CD411E">
        <w:rPr>
          <w:rFonts w:ascii="Times New Roman" w:eastAsia="Times New Roman" w:hAnsi="Times New Roman" w:cs="Times New Roman"/>
          <w:kern w:val="0"/>
          <w:lang w:eastAsia="en-GB"/>
          <w14:ligatures w14:val="none"/>
        </w:rPr>
        <w:t xml:space="preserve">Age aware and age friendly policies are needed for example for design and </w:t>
      </w:r>
      <w:r w:rsidR="00012468" w:rsidRPr="00CD411E">
        <w:rPr>
          <w:rFonts w:ascii="Times New Roman" w:eastAsia="Times New Roman" w:hAnsi="Times New Roman" w:cs="Times New Roman"/>
          <w:kern w:val="0"/>
          <w:lang w:eastAsia="en-GB"/>
          <w14:ligatures w14:val="none"/>
        </w:rPr>
        <w:t xml:space="preserve">investment in inclusive infrastructure, universal access to </w:t>
      </w:r>
      <w:r w:rsidRPr="00CD411E">
        <w:rPr>
          <w:rFonts w:ascii="Times New Roman" w:eastAsia="Times New Roman" w:hAnsi="Times New Roman" w:cs="Times New Roman"/>
          <w:kern w:val="0"/>
          <w:lang w:eastAsia="en-GB"/>
          <w14:ligatures w14:val="none"/>
        </w:rPr>
        <w:t xml:space="preserve">social protection and basic </w:t>
      </w:r>
      <w:r w:rsidR="00012468" w:rsidRPr="00CD411E">
        <w:rPr>
          <w:rFonts w:ascii="Times New Roman" w:eastAsia="Times New Roman" w:hAnsi="Times New Roman" w:cs="Times New Roman"/>
          <w:kern w:val="0"/>
          <w:lang w:eastAsia="en-GB"/>
          <w14:ligatures w14:val="none"/>
        </w:rPr>
        <w:t xml:space="preserve">services and equal opportunities </w:t>
      </w:r>
      <w:r w:rsidR="00331826" w:rsidRPr="00CD411E">
        <w:rPr>
          <w:rFonts w:ascii="Times New Roman" w:eastAsia="Times New Roman" w:hAnsi="Times New Roman" w:cs="Times New Roman"/>
          <w:kern w:val="0"/>
          <w:lang w:eastAsia="en-GB"/>
          <w14:ligatures w14:val="none"/>
        </w:rPr>
        <w:t>of access to</w:t>
      </w:r>
      <w:r w:rsidR="00BF4753" w:rsidRPr="00CD411E">
        <w:rPr>
          <w:rFonts w:ascii="Times New Roman" w:eastAsia="Times New Roman" w:hAnsi="Times New Roman" w:cs="Times New Roman"/>
          <w:kern w:val="0"/>
          <w:lang w:eastAsia="en-GB"/>
          <w14:ligatures w14:val="none"/>
        </w:rPr>
        <w:t xml:space="preserve"> education and employment </w:t>
      </w:r>
      <w:r w:rsidRPr="00CD411E">
        <w:rPr>
          <w:rFonts w:ascii="Times New Roman" w:eastAsia="Times New Roman" w:hAnsi="Times New Roman" w:cs="Times New Roman"/>
          <w:kern w:val="0"/>
          <w:lang w:eastAsia="en-GB"/>
          <w14:ligatures w14:val="none"/>
        </w:rPr>
        <w:t>regardless of age</w:t>
      </w:r>
      <w:r w:rsidR="00012468" w:rsidRPr="00CD411E">
        <w:rPr>
          <w:rFonts w:ascii="Times New Roman" w:eastAsia="Times New Roman" w:hAnsi="Times New Roman" w:cs="Times New Roman"/>
          <w:kern w:val="0"/>
          <w:lang w:eastAsia="en-GB"/>
          <w14:ligatures w14:val="none"/>
        </w:rPr>
        <w:t xml:space="preserve">. </w:t>
      </w:r>
    </w:p>
    <w:p w14:paraId="234812D0" w14:textId="276B12F4" w:rsidR="00012468" w:rsidRPr="00CD411E" w:rsidRDefault="00BF4753" w:rsidP="00DD2354">
      <w:pPr>
        <w:pStyle w:val="ListParagraph"/>
        <w:numPr>
          <w:ilvl w:val="0"/>
          <w:numId w:val="13"/>
        </w:numPr>
        <w:spacing w:before="120" w:after="120" w:line="240" w:lineRule="auto"/>
        <w:ind w:left="0" w:firstLine="0"/>
        <w:contextualSpacing w:val="0"/>
        <w:rPr>
          <w:rFonts w:ascii="Times New Roman" w:eastAsia="Times New Roman" w:hAnsi="Times New Roman" w:cs="Times New Roman"/>
          <w:kern w:val="0"/>
          <w:lang w:eastAsia="en-GB"/>
          <w14:ligatures w14:val="none"/>
        </w:rPr>
      </w:pPr>
      <w:r w:rsidRPr="00CD411E">
        <w:rPr>
          <w:rFonts w:ascii="Times New Roman" w:eastAsia="Times New Roman" w:hAnsi="Times New Roman" w:cs="Times New Roman"/>
          <w:kern w:val="0"/>
          <w:lang w:eastAsia="en-GB"/>
          <w14:ligatures w14:val="none"/>
        </w:rPr>
        <w:lastRenderedPageBreak/>
        <w:t>C</w:t>
      </w:r>
      <w:r w:rsidR="00A23F23" w:rsidRPr="00CD411E">
        <w:rPr>
          <w:rFonts w:ascii="Times New Roman" w:eastAsia="Times New Roman" w:hAnsi="Times New Roman" w:cs="Times New Roman"/>
          <w:kern w:val="0"/>
          <w:lang w:eastAsia="en-GB"/>
          <w14:ligatures w14:val="none"/>
        </w:rPr>
        <w:t xml:space="preserve">oncrete efforts are needed to improve infrastructure and access to clean water and sanitation for older persons </w:t>
      </w:r>
      <w:r w:rsidR="00505386" w:rsidRPr="00CD411E">
        <w:rPr>
          <w:rFonts w:ascii="Times New Roman" w:eastAsia="Times New Roman" w:hAnsi="Times New Roman" w:cs="Times New Roman"/>
          <w:kern w:val="0"/>
          <w:lang w:eastAsia="en-GB"/>
          <w14:ligatures w14:val="none"/>
        </w:rPr>
        <w:t>to achieve SDG 6</w:t>
      </w:r>
      <w:r w:rsidR="00331826" w:rsidRPr="00CD411E">
        <w:rPr>
          <w:rFonts w:ascii="Times New Roman" w:eastAsia="Times New Roman" w:hAnsi="Times New Roman" w:cs="Times New Roman"/>
          <w:kern w:val="0"/>
          <w:lang w:eastAsia="en-GB"/>
          <w14:ligatures w14:val="none"/>
        </w:rPr>
        <w:t>.  Since</w:t>
      </w:r>
      <w:r w:rsidR="00DD2354" w:rsidRPr="00CD411E">
        <w:rPr>
          <w:rFonts w:ascii="Times New Roman" w:eastAsia="Times New Roman" w:hAnsi="Times New Roman" w:cs="Times New Roman"/>
          <w:kern w:val="0"/>
          <w:lang w:eastAsia="en-GB"/>
          <w14:ligatures w14:val="none"/>
        </w:rPr>
        <w:t xml:space="preserve"> </w:t>
      </w:r>
      <w:r w:rsidR="00012468" w:rsidRPr="00CD411E">
        <w:rPr>
          <w:rFonts w:ascii="Times New Roman" w:eastAsia="Times New Roman" w:hAnsi="Times New Roman" w:cs="Times New Roman"/>
          <w:kern w:val="0"/>
          <w:lang w:eastAsia="en-GB"/>
          <w14:ligatures w14:val="none"/>
        </w:rPr>
        <w:t xml:space="preserve">older persons are disproportionately affected by inadequate infrastructure, </w:t>
      </w:r>
      <w:r w:rsidR="00331826" w:rsidRPr="00CD411E">
        <w:rPr>
          <w:rFonts w:ascii="Times New Roman" w:eastAsia="Times New Roman" w:hAnsi="Times New Roman" w:cs="Times New Roman"/>
          <w:kern w:val="0"/>
          <w:lang w:eastAsia="en-GB"/>
          <w14:ligatures w14:val="none"/>
        </w:rPr>
        <w:t xml:space="preserve">investment in urban development (SDG 11) must ensure </w:t>
      </w:r>
      <w:r w:rsidR="00A23F23" w:rsidRPr="00CD411E">
        <w:rPr>
          <w:rFonts w:ascii="Times New Roman" w:eastAsia="Times New Roman" w:hAnsi="Times New Roman" w:cs="Times New Roman"/>
          <w:kern w:val="0"/>
          <w:lang w:eastAsia="en-GB"/>
          <w14:ligatures w14:val="none"/>
        </w:rPr>
        <w:t xml:space="preserve">accessibility and participation </w:t>
      </w:r>
      <w:r w:rsidR="00331826" w:rsidRPr="00CD411E">
        <w:rPr>
          <w:rFonts w:ascii="Times New Roman" w:eastAsia="Times New Roman" w:hAnsi="Times New Roman" w:cs="Times New Roman"/>
          <w:kern w:val="0"/>
          <w:lang w:eastAsia="en-GB"/>
          <w14:ligatures w14:val="none"/>
        </w:rPr>
        <w:t xml:space="preserve">at all stages of the life </w:t>
      </w:r>
      <w:r w:rsidR="00DD2354" w:rsidRPr="00CD411E">
        <w:rPr>
          <w:rFonts w:ascii="Times New Roman" w:eastAsia="Times New Roman" w:hAnsi="Times New Roman" w:cs="Times New Roman"/>
          <w:kern w:val="0"/>
          <w:lang w:eastAsia="en-GB"/>
          <w14:ligatures w14:val="none"/>
        </w:rPr>
        <w:t>course</w:t>
      </w:r>
      <w:r w:rsidR="00331826" w:rsidRPr="00CD411E">
        <w:rPr>
          <w:rFonts w:ascii="Times New Roman" w:eastAsia="Times New Roman" w:hAnsi="Times New Roman" w:cs="Times New Roman"/>
          <w:kern w:val="0"/>
          <w:lang w:eastAsia="en-GB"/>
          <w14:ligatures w14:val="none"/>
        </w:rPr>
        <w:t>.</w:t>
      </w:r>
      <w:r w:rsidR="00012468" w:rsidRPr="00CD411E">
        <w:rPr>
          <w:rFonts w:ascii="Times New Roman" w:eastAsia="Times New Roman" w:hAnsi="Times New Roman" w:cs="Times New Roman"/>
          <w:kern w:val="0"/>
          <w:lang w:eastAsia="en-GB"/>
          <w14:ligatures w14:val="none"/>
        </w:rPr>
        <w:t xml:space="preserve"> </w:t>
      </w:r>
    </w:p>
    <w:p w14:paraId="1F067448" w14:textId="3B27B286" w:rsidR="00012468" w:rsidRPr="00CD411E" w:rsidRDefault="00DD2354" w:rsidP="00DD2354">
      <w:pPr>
        <w:pStyle w:val="ListParagraph"/>
        <w:numPr>
          <w:ilvl w:val="0"/>
          <w:numId w:val="13"/>
        </w:numPr>
        <w:spacing w:before="120" w:after="120" w:line="240" w:lineRule="auto"/>
        <w:ind w:left="0" w:firstLine="0"/>
        <w:contextualSpacing w:val="0"/>
        <w:rPr>
          <w:rFonts w:ascii="Times New Roman" w:eastAsia="Times New Roman" w:hAnsi="Times New Roman" w:cs="Times New Roman"/>
          <w:kern w:val="0"/>
          <w:lang w:eastAsia="en-GB"/>
          <w14:ligatures w14:val="none"/>
        </w:rPr>
      </w:pPr>
      <w:r w:rsidRPr="00CD411E">
        <w:rPr>
          <w:rFonts w:ascii="Times New Roman" w:eastAsia="Times New Roman" w:hAnsi="Times New Roman" w:cs="Times New Roman"/>
          <w:kern w:val="0"/>
          <w:lang w:eastAsia="en-GB"/>
          <w14:ligatures w14:val="none"/>
        </w:rPr>
        <w:t xml:space="preserve">The SGA calls for meaningful inclusion, with participation and visibility. </w:t>
      </w:r>
      <w:r w:rsidR="00012468" w:rsidRPr="00CD411E">
        <w:rPr>
          <w:rFonts w:ascii="Times New Roman" w:eastAsia="Times New Roman" w:hAnsi="Times New Roman" w:cs="Times New Roman"/>
          <w:kern w:val="0"/>
          <w:lang w:eastAsia="en-GB"/>
          <w14:ligatures w14:val="none"/>
        </w:rPr>
        <w:t>Partnerships and data systems are central to this effor</w:t>
      </w:r>
      <w:r w:rsidR="009E0A94" w:rsidRPr="00CD411E">
        <w:rPr>
          <w:rFonts w:ascii="Times New Roman" w:eastAsia="Times New Roman" w:hAnsi="Times New Roman" w:cs="Times New Roman"/>
          <w:kern w:val="0"/>
          <w:lang w:eastAsia="en-GB"/>
          <w14:ligatures w14:val="none"/>
        </w:rPr>
        <w:t xml:space="preserve">t. </w:t>
      </w:r>
      <w:r w:rsidR="00BF4753" w:rsidRPr="00CD411E">
        <w:rPr>
          <w:rFonts w:ascii="Times New Roman" w:eastAsia="Times New Roman" w:hAnsi="Times New Roman" w:cs="Times New Roman"/>
          <w:kern w:val="0"/>
          <w:lang w:eastAsia="en-GB"/>
          <w14:ligatures w14:val="none"/>
        </w:rPr>
        <w:t xml:space="preserve"> As the SGA emphasizes, “we treasure what we measure”</w:t>
      </w:r>
      <w:r w:rsidR="00012468" w:rsidRPr="00CD411E">
        <w:rPr>
          <w:rFonts w:ascii="Times New Roman" w:eastAsia="Times New Roman" w:hAnsi="Times New Roman" w:cs="Times New Roman"/>
          <w:kern w:val="0"/>
          <w:lang w:eastAsia="en-GB"/>
          <w14:ligatures w14:val="none"/>
        </w:rPr>
        <w:t xml:space="preserve">. Strengthening multi-stakeholder partnerships that include older </w:t>
      </w:r>
      <w:r w:rsidR="00A344B2" w:rsidRPr="00CD411E">
        <w:rPr>
          <w:rFonts w:ascii="Times New Roman" w:eastAsia="Times New Roman" w:hAnsi="Times New Roman" w:cs="Times New Roman"/>
          <w:kern w:val="0"/>
          <w:lang w:eastAsia="en-GB"/>
          <w14:ligatures w14:val="none"/>
        </w:rPr>
        <w:t>persons and</w:t>
      </w:r>
      <w:r w:rsidR="00012468" w:rsidRPr="00CD411E">
        <w:rPr>
          <w:rFonts w:ascii="Times New Roman" w:eastAsia="Times New Roman" w:hAnsi="Times New Roman" w:cs="Times New Roman"/>
          <w:kern w:val="0"/>
          <w:lang w:eastAsia="en-GB"/>
          <w14:ligatures w14:val="none"/>
        </w:rPr>
        <w:t xml:space="preserve"> improv</w:t>
      </w:r>
      <w:r w:rsidR="00A23F23" w:rsidRPr="00CD411E">
        <w:rPr>
          <w:rFonts w:ascii="Times New Roman" w:eastAsia="Times New Roman" w:hAnsi="Times New Roman" w:cs="Times New Roman"/>
          <w:kern w:val="0"/>
          <w:lang w:eastAsia="en-GB"/>
          <w14:ligatures w14:val="none"/>
        </w:rPr>
        <w:t>e</w:t>
      </w:r>
      <w:r w:rsidRPr="00CD411E">
        <w:rPr>
          <w:rFonts w:ascii="Times New Roman" w:eastAsia="Times New Roman" w:hAnsi="Times New Roman" w:cs="Times New Roman"/>
          <w:kern w:val="0"/>
          <w:lang w:eastAsia="en-GB"/>
          <w14:ligatures w14:val="none"/>
        </w:rPr>
        <w:t xml:space="preserve"> </w:t>
      </w:r>
      <w:r w:rsidR="00012468" w:rsidRPr="00CD411E">
        <w:rPr>
          <w:rFonts w:ascii="Times New Roman" w:eastAsia="Times New Roman" w:hAnsi="Times New Roman" w:cs="Times New Roman"/>
          <w:kern w:val="0"/>
          <w:lang w:eastAsia="en-GB"/>
          <w14:ligatures w14:val="none"/>
        </w:rPr>
        <w:t>the availability</w:t>
      </w:r>
      <w:r w:rsidR="00A23F23" w:rsidRPr="00CD411E">
        <w:rPr>
          <w:rFonts w:ascii="Times New Roman" w:eastAsia="Times New Roman" w:hAnsi="Times New Roman" w:cs="Times New Roman"/>
          <w:kern w:val="0"/>
          <w:lang w:eastAsia="en-GB"/>
          <w14:ligatures w14:val="none"/>
        </w:rPr>
        <w:t xml:space="preserve"> and use</w:t>
      </w:r>
      <w:r w:rsidR="00012468" w:rsidRPr="00CD411E">
        <w:rPr>
          <w:rFonts w:ascii="Times New Roman" w:eastAsia="Times New Roman" w:hAnsi="Times New Roman" w:cs="Times New Roman"/>
          <w:kern w:val="0"/>
          <w:lang w:eastAsia="en-GB"/>
          <w14:ligatures w14:val="none"/>
        </w:rPr>
        <w:t xml:space="preserve"> of age-disaggregated data </w:t>
      </w:r>
      <w:r w:rsidR="00A23F23" w:rsidRPr="00CD411E">
        <w:rPr>
          <w:rFonts w:ascii="Times New Roman" w:eastAsia="Times New Roman" w:hAnsi="Times New Roman" w:cs="Times New Roman"/>
          <w:kern w:val="0"/>
          <w:lang w:eastAsia="en-GB"/>
          <w14:ligatures w14:val="none"/>
        </w:rPr>
        <w:t xml:space="preserve">from birth to death </w:t>
      </w:r>
      <w:r w:rsidR="00012468" w:rsidRPr="00CD411E">
        <w:rPr>
          <w:rFonts w:ascii="Times New Roman" w:eastAsia="Times New Roman" w:hAnsi="Times New Roman" w:cs="Times New Roman"/>
          <w:kern w:val="0"/>
          <w:lang w:eastAsia="en-GB"/>
          <w14:ligatures w14:val="none"/>
        </w:rPr>
        <w:t xml:space="preserve">are essential for </w:t>
      </w:r>
      <w:r w:rsidR="00A23F23" w:rsidRPr="00CD411E">
        <w:rPr>
          <w:rFonts w:ascii="Times New Roman" w:eastAsia="Times New Roman" w:hAnsi="Times New Roman" w:cs="Times New Roman"/>
          <w:kern w:val="0"/>
          <w:lang w:eastAsia="en-GB"/>
          <w14:ligatures w14:val="none"/>
        </w:rPr>
        <w:t xml:space="preserve">monitoring progress for </w:t>
      </w:r>
      <w:r w:rsidR="00012468" w:rsidRPr="00CD411E">
        <w:rPr>
          <w:rFonts w:ascii="Times New Roman" w:eastAsia="Times New Roman" w:hAnsi="Times New Roman" w:cs="Times New Roman"/>
          <w:kern w:val="0"/>
          <w:lang w:eastAsia="en-GB"/>
          <w14:ligatures w14:val="none"/>
        </w:rPr>
        <w:t xml:space="preserve">the Sustainable Development Goals and </w:t>
      </w:r>
      <w:r w:rsidR="00A23F23" w:rsidRPr="00CD411E">
        <w:rPr>
          <w:rFonts w:ascii="Times New Roman" w:eastAsia="Times New Roman" w:hAnsi="Times New Roman" w:cs="Times New Roman"/>
          <w:kern w:val="0"/>
          <w:lang w:eastAsia="en-GB"/>
          <w14:ligatures w14:val="none"/>
        </w:rPr>
        <w:t xml:space="preserve">the </w:t>
      </w:r>
      <w:r w:rsidR="00012468" w:rsidRPr="00CD411E">
        <w:rPr>
          <w:rFonts w:ascii="Times New Roman" w:eastAsia="Times New Roman" w:hAnsi="Times New Roman" w:cs="Times New Roman"/>
          <w:kern w:val="0"/>
          <w:lang w:eastAsia="en-GB"/>
          <w14:ligatures w14:val="none"/>
        </w:rPr>
        <w:t>Doha Political Declaration.</w:t>
      </w:r>
    </w:p>
    <w:p w14:paraId="55A7A2E8" w14:textId="43E96595" w:rsidR="00012468" w:rsidRPr="00CD411E" w:rsidRDefault="00A23F23" w:rsidP="00A007DB">
      <w:pPr>
        <w:pStyle w:val="ListParagraph"/>
        <w:numPr>
          <w:ilvl w:val="0"/>
          <w:numId w:val="13"/>
        </w:numPr>
        <w:spacing w:before="120" w:after="120" w:line="240" w:lineRule="auto"/>
        <w:ind w:left="0" w:firstLine="0"/>
        <w:contextualSpacing w:val="0"/>
        <w:rPr>
          <w:rFonts w:ascii="Times New Roman" w:eastAsia="Times New Roman" w:hAnsi="Times New Roman" w:cs="Times New Roman"/>
          <w:kern w:val="0"/>
          <w:lang w:eastAsia="en-GB"/>
          <w14:ligatures w14:val="none"/>
        </w:rPr>
      </w:pPr>
      <w:r w:rsidRPr="00CD411E">
        <w:rPr>
          <w:rFonts w:ascii="Times New Roman" w:eastAsia="Times New Roman" w:hAnsi="Times New Roman" w:cs="Times New Roman"/>
          <w:kern w:val="0"/>
          <w:lang w:eastAsia="en-GB"/>
          <w14:ligatures w14:val="none"/>
        </w:rPr>
        <w:t xml:space="preserve">In sum, </w:t>
      </w:r>
      <w:r w:rsidR="00012468" w:rsidRPr="00CD411E">
        <w:rPr>
          <w:rFonts w:ascii="Times New Roman" w:eastAsia="Times New Roman" w:hAnsi="Times New Roman" w:cs="Times New Roman"/>
          <w:kern w:val="0"/>
          <w:lang w:eastAsia="en-GB"/>
          <w14:ligatures w14:val="none"/>
        </w:rPr>
        <w:t xml:space="preserve">older persons’ rights, voices, and contributions </w:t>
      </w:r>
      <w:r w:rsidRPr="00CD411E">
        <w:rPr>
          <w:rFonts w:ascii="Times New Roman" w:eastAsia="Times New Roman" w:hAnsi="Times New Roman" w:cs="Times New Roman"/>
          <w:kern w:val="0"/>
          <w:lang w:eastAsia="en-GB"/>
          <w14:ligatures w14:val="none"/>
        </w:rPr>
        <w:t>must be</w:t>
      </w:r>
      <w:r w:rsidR="00012468" w:rsidRPr="00CD411E">
        <w:rPr>
          <w:rFonts w:ascii="Times New Roman" w:eastAsia="Times New Roman" w:hAnsi="Times New Roman" w:cs="Times New Roman"/>
          <w:kern w:val="0"/>
          <w:lang w:eastAsia="en-GB"/>
          <w14:ligatures w14:val="none"/>
        </w:rPr>
        <w:t xml:space="preserve"> fully integrated into sustainable development processes. In this context, the ongoing work of the Open-Ended Intergovernmental Working Group on Ageing, including a United Nations Convention on the Rights of Older Persons, represents a historic opportunity to strengthen the protection and promotion of the human rights of older persons.</w:t>
      </w:r>
    </w:p>
    <w:p w14:paraId="4A5AF12D" w14:textId="77777777" w:rsidR="00FA0F9A" w:rsidRPr="00CD411E" w:rsidRDefault="00FA0F9A" w:rsidP="00FA0F9A">
      <w:pPr>
        <w:pStyle w:val="ListParagraph"/>
        <w:spacing w:before="120" w:after="120" w:line="240" w:lineRule="auto"/>
        <w:ind w:left="0"/>
        <w:contextualSpacing w:val="0"/>
        <w:rPr>
          <w:rFonts w:ascii="Times New Roman" w:eastAsia="Times New Roman" w:hAnsi="Times New Roman" w:cs="Times New Roman"/>
          <w:kern w:val="0"/>
          <w:lang w:eastAsia="en-GB"/>
          <w14:ligatures w14:val="none"/>
        </w:rPr>
      </w:pPr>
    </w:p>
    <w:p w14:paraId="39539A5D" w14:textId="4B7A9292" w:rsidR="00E001EF" w:rsidRPr="00CD411E" w:rsidRDefault="006F79E5">
      <w:pPr>
        <w:rPr>
          <w:rFonts w:ascii="Times New Roman" w:hAnsi="Times New Roman" w:cs="Times New Roman"/>
        </w:rPr>
      </w:pPr>
      <w:r>
        <w:pict w14:anchorId="0DAC2A7F">
          <v:rect id="Horizontal Line 4" o:spid="_x0000_s1036"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4E13539" w14:textId="77777777" w:rsidR="00FA0F9A" w:rsidRPr="00CD411E" w:rsidRDefault="00FA0F9A" w:rsidP="00F97627">
      <w:pPr>
        <w:rPr>
          <w:rFonts w:ascii="Times New Roman" w:hAnsi="Times New Roman" w:cs="Times New Roman"/>
          <w:b/>
          <w:bCs/>
        </w:rPr>
      </w:pPr>
    </w:p>
    <w:p w14:paraId="7334B18C" w14:textId="4CD4A595" w:rsidR="00E001EF" w:rsidRPr="00CD411E" w:rsidRDefault="00E001EF" w:rsidP="00F97627">
      <w:pPr>
        <w:rPr>
          <w:rFonts w:ascii="Times New Roman" w:hAnsi="Times New Roman" w:cs="Times New Roman"/>
          <w:b/>
          <w:bCs/>
        </w:rPr>
      </w:pPr>
      <w:r w:rsidRPr="00CD411E">
        <w:rPr>
          <w:rFonts w:ascii="Times New Roman" w:hAnsi="Times New Roman" w:cs="Times New Roman"/>
          <w:b/>
          <w:bCs/>
        </w:rPr>
        <w:t>SDG 6 — Clean Water and Sanitation</w:t>
      </w:r>
      <w:r w:rsidR="00E3410D" w:rsidRPr="00CD411E">
        <w:rPr>
          <w:rFonts w:ascii="Times New Roman" w:hAnsi="Times New Roman" w:cs="Times New Roman"/>
          <w:b/>
          <w:bCs/>
        </w:rPr>
        <w:t xml:space="preserve">. </w:t>
      </w:r>
      <w:r w:rsidRPr="00CD411E">
        <w:rPr>
          <w:rFonts w:ascii="Times New Roman" w:hAnsi="Times New Roman" w:cs="Times New Roman"/>
          <w:b/>
          <w:bCs/>
        </w:rPr>
        <w:t xml:space="preserve">Water and Older Persons </w:t>
      </w:r>
    </w:p>
    <w:p w14:paraId="478C316F" w14:textId="77777777" w:rsidR="00E001EF" w:rsidRPr="00CD411E" w:rsidRDefault="00E001EF" w:rsidP="00E001EF">
      <w:pPr>
        <w:rPr>
          <w:rFonts w:ascii="Times New Roman" w:hAnsi="Times New Roman" w:cs="Times New Roman"/>
          <w:i/>
          <w:iCs/>
        </w:rPr>
      </w:pPr>
      <w:r w:rsidRPr="00CD411E">
        <w:rPr>
          <w:rFonts w:ascii="Times New Roman" w:hAnsi="Times New Roman" w:cs="Times New Roman"/>
          <w:b/>
          <w:bCs/>
          <w:i/>
          <w:iCs/>
        </w:rPr>
        <w:t>Ensuring equitable access to safe water and sanitation requires infrastructure, policies, and governance systems that respond to the needs of ageing populations.</w:t>
      </w:r>
    </w:p>
    <w:p w14:paraId="2980F068" w14:textId="23439FE6" w:rsidR="00304A95" w:rsidRPr="00CD411E" w:rsidRDefault="00A80B10" w:rsidP="00304A95">
      <w:pPr>
        <w:pStyle w:val="ListParagraph"/>
        <w:numPr>
          <w:ilvl w:val="0"/>
          <w:numId w:val="13"/>
        </w:numPr>
        <w:spacing w:before="120" w:after="120" w:line="240" w:lineRule="auto"/>
        <w:ind w:left="0" w:firstLine="0"/>
        <w:contextualSpacing w:val="0"/>
        <w:rPr>
          <w:rFonts w:ascii="Times New Roman" w:hAnsi="Times New Roman" w:cs="Times New Roman"/>
        </w:rPr>
      </w:pPr>
      <w:r w:rsidRPr="00CD411E">
        <w:rPr>
          <w:rFonts w:ascii="Times New Roman" w:hAnsi="Times New Roman" w:cs="Times New Roman"/>
        </w:rPr>
        <w:t xml:space="preserve">Progress towards the implementation of SDG 6 — </w:t>
      </w:r>
      <w:r w:rsidR="00BF4753" w:rsidRPr="00CD411E">
        <w:rPr>
          <w:rFonts w:ascii="Times New Roman" w:hAnsi="Times New Roman" w:cs="Times New Roman"/>
        </w:rPr>
        <w:t>to e</w:t>
      </w:r>
      <w:r w:rsidRPr="00CD411E">
        <w:rPr>
          <w:rFonts w:ascii="Times New Roman" w:hAnsi="Times New Roman" w:cs="Times New Roman"/>
        </w:rPr>
        <w:t xml:space="preserve">nsure availability and sustainable management of water and sanitation for all — </w:t>
      </w:r>
      <w:r w:rsidR="00BF4753" w:rsidRPr="00CD411E">
        <w:rPr>
          <w:rFonts w:ascii="Times New Roman" w:hAnsi="Times New Roman" w:cs="Times New Roman"/>
        </w:rPr>
        <w:t xml:space="preserve">will be determined by national and global responses to </w:t>
      </w:r>
      <w:r w:rsidRPr="00CD411E">
        <w:rPr>
          <w:rFonts w:ascii="Times New Roman" w:hAnsi="Times New Roman" w:cs="Times New Roman"/>
        </w:rPr>
        <w:t>population ageing.</w:t>
      </w:r>
      <w:r w:rsidR="00304A95" w:rsidRPr="00CD411E">
        <w:rPr>
          <w:rFonts w:ascii="Times New Roman" w:hAnsi="Times New Roman" w:cs="Times New Roman"/>
        </w:rPr>
        <w:t xml:space="preserve"> </w:t>
      </w:r>
      <w:r w:rsidR="00E75EDA" w:rsidRPr="00CD411E">
        <w:rPr>
          <w:rFonts w:ascii="Times New Roman" w:hAnsi="Times New Roman" w:cs="Times New Roman"/>
        </w:rPr>
        <w:t>Population ageing is transforming societies across all regions, requiring explicit recognition</w:t>
      </w:r>
      <w:r w:rsidR="00ED5D1F" w:rsidRPr="00CD411E">
        <w:rPr>
          <w:rFonts w:ascii="Times New Roman" w:hAnsi="Times New Roman" w:cs="Times New Roman"/>
        </w:rPr>
        <w:t xml:space="preserve"> </w:t>
      </w:r>
      <w:r w:rsidR="00304A95" w:rsidRPr="00CD411E">
        <w:rPr>
          <w:rFonts w:ascii="Times New Roman" w:hAnsi="Times New Roman" w:cs="Times New Roman"/>
        </w:rPr>
        <w:t>of older persons as rights holders and essential stakeholders in water governance, policy design, and service provision.</w:t>
      </w:r>
    </w:p>
    <w:p w14:paraId="716FB6B6" w14:textId="2E68F3FD" w:rsidR="00845222" w:rsidRPr="00CD411E" w:rsidRDefault="00845222" w:rsidP="00845222">
      <w:pPr>
        <w:pStyle w:val="ListParagraph"/>
        <w:numPr>
          <w:ilvl w:val="0"/>
          <w:numId w:val="13"/>
        </w:numPr>
        <w:spacing w:before="120" w:after="120" w:line="240" w:lineRule="auto"/>
        <w:ind w:left="0" w:firstLine="0"/>
        <w:contextualSpacing w:val="0"/>
        <w:rPr>
          <w:rFonts w:ascii="Times New Roman" w:hAnsi="Times New Roman" w:cs="Times New Roman"/>
        </w:rPr>
      </w:pPr>
      <w:r w:rsidRPr="00CD411E">
        <w:rPr>
          <w:rFonts w:ascii="Times New Roman" w:hAnsi="Times New Roman" w:cs="Times New Roman"/>
        </w:rPr>
        <w:t>Access to safe water, sanitation, and hygiene (WASH) is fundamental to health, dignity, and well-being across the life course. Despite progress since 2015, more than 2.1</w:t>
      </w:r>
      <w:r w:rsidRPr="00CD411E">
        <w:rPr>
          <w:rFonts w:ascii="Times New Roman" w:hAnsi="Times New Roman" w:cs="Times New Roman"/>
          <w:b/>
          <w:bCs/>
        </w:rPr>
        <w:t xml:space="preserve"> </w:t>
      </w:r>
      <w:r w:rsidRPr="00CD411E">
        <w:rPr>
          <w:rFonts w:ascii="Times New Roman" w:hAnsi="Times New Roman" w:cs="Times New Roman"/>
        </w:rPr>
        <w:t xml:space="preserve">billion people still lack safely managed drinking water services, and 3.4 billion lack safely managed sanitation services. </w:t>
      </w:r>
      <w:r w:rsidR="00BF4753" w:rsidRPr="00CD411E">
        <w:rPr>
          <w:rFonts w:ascii="Times New Roman" w:hAnsi="Times New Roman" w:cs="Times New Roman"/>
        </w:rPr>
        <w:t xml:space="preserve">These aggregate numbers include older persons. </w:t>
      </w:r>
      <w:r w:rsidRPr="00CD411E">
        <w:rPr>
          <w:rFonts w:ascii="Times New Roman" w:hAnsi="Times New Roman" w:cs="Times New Roman"/>
        </w:rPr>
        <w:t>Climate change, environmental degradation, and infrastructure gaps threaten progress toward universal access.</w:t>
      </w:r>
    </w:p>
    <w:p w14:paraId="52EF2DC1" w14:textId="6A58C2E4" w:rsidR="00457C2B" w:rsidRPr="00CD411E" w:rsidRDefault="00457C2B" w:rsidP="00457C2B">
      <w:pPr>
        <w:pStyle w:val="ListParagraph"/>
        <w:numPr>
          <w:ilvl w:val="0"/>
          <w:numId w:val="13"/>
        </w:numPr>
        <w:spacing w:before="120" w:after="120" w:line="240" w:lineRule="auto"/>
        <w:ind w:left="0" w:firstLine="0"/>
        <w:contextualSpacing w:val="0"/>
        <w:rPr>
          <w:rFonts w:ascii="Times New Roman" w:hAnsi="Times New Roman" w:cs="Times New Roman"/>
        </w:rPr>
      </w:pPr>
      <w:r w:rsidRPr="00CD411E">
        <w:rPr>
          <w:rFonts w:ascii="Times New Roman" w:hAnsi="Times New Roman" w:cs="Times New Roman"/>
        </w:rPr>
        <w:t xml:space="preserve">Older persons face disproportionate barriers in accessing WASH services, as age-related changes in mobility, vision, strength, and continence interact with poorly designed </w:t>
      </w:r>
      <w:r w:rsidR="000223D6" w:rsidRPr="00CD411E">
        <w:rPr>
          <w:rFonts w:ascii="Times New Roman" w:hAnsi="Times New Roman" w:cs="Times New Roman"/>
        </w:rPr>
        <w:t xml:space="preserve">and inaccessible </w:t>
      </w:r>
      <w:r w:rsidRPr="00CD411E">
        <w:rPr>
          <w:rFonts w:ascii="Times New Roman" w:hAnsi="Times New Roman" w:cs="Times New Roman"/>
        </w:rPr>
        <w:t>infrastructure. Water sources located far from dwellings, sanitation facilities without handrails or lighting, elevated steps, narrow doorways, and slippery surfaces compromise safety and independence. These barriers increase risks of falls, dehydration, and waterborne disease, and may result in loss of dignity and autonomy.</w:t>
      </w:r>
    </w:p>
    <w:p w14:paraId="0B459D4B" w14:textId="1BF2466F" w:rsidR="00644D97" w:rsidRPr="00CD411E" w:rsidRDefault="00644D97" w:rsidP="00644D97">
      <w:pPr>
        <w:pStyle w:val="ListParagraph"/>
        <w:numPr>
          <w:ilvl w:val="0"/>
          <w:numId w:val="13"/>
        </w:numPr>
        <w:spacing w:before="120" w:after="120" w:line="240" w:lineRule="auto"/>
        <w:ind w:left="0" w:firstLine="0"/>
        <w:contextualSpacing w:val="0"/>
        <w:rPr>
          <w:rFonts w:ascii="Times New Roman" w:hAnsi="Times New Roman" w:cs="Times New Roman"/>
        </w:rPr>
      </w:pPr>
      <w:r w:rsidRPr="00CD411E">
        <w:rPr>
          <w:rFonts w:ascii="Times New Roman" w:hAnsi="Times New Roman" w:cs="Times New Roman"/>
        </w:rPr>
        <w:t xml:space="preserve">Economic constraints further exacerbate these challenges. Many older persons rely </w:t>
      </w:r>
      <w:r w:rsidR="005F58DE" w:rsidRPr="00CD411E">
        <w:rPr>
          <w:rFonts w:ascii="Times New Roman" w:hAnsi="Times New Roman" w:cs="Times New Roman"/>
        </w:rPr>
        <w:t>on limited</w:t>
      </w:r>
      <w:r w:rsidRPr="00CD411E">
        <w:rPr>
          <w:rFonts w:ascii="Times New Roman" w:hAnsi="Times New Roman" w:cs="Times New Roman"/>
        </w:rPr>
        <w:t xml:space="preserve"> incomes, reducing their ability to pay for water services or sanitation infrastructure. In some contexts, this leads to service disconnection or reliance on unsafe alternatives.</w:t>
      </w:r>
    </w:p>
    <w:p w14:paraId="74BBD631" w14:textId="433EEA06" w:rsidR="00F12274" w:rsidRPr="00CD411E" w:rsidRDefault="00F138F2" w:rsidP="00F12274">
      <w:pPr>
        <w:pStyle w:val="ListParagraph"/>
        <w:numPr>
          <w:ilvl w:val="0"/>
          <w:numId w:val="13"/>
        </w:numPr>
        <w:spacing w:before="120" w:after="120" w:line="240" w:lineRule="auto"/>
        <w:ind w:left="0" w:firstLine="0"/>
        <w:contextualSpacing w:val="0"/>
        <w:rPr>
          <w:rFonts w:ascii="Times New Roman" w:hAnsi="Times New Roman" w:cs="Times New Roman"/>
        </w:rPr>
      </w:pPr>
      <w:r w:rsidRPr="00CD411E">
        <w:rPr>
          <w:rFonts w:ascii="Times New Roman" w:hAnsi="Times New Roman" w:cs="Times New Roman"/>
        </w:rPr>
        <w:lastRenderedPageBreak/>
        <w:t xml:space="preserve">Such </w:t>
      </w:r>
      <w:r w:rsidR="00F12274" w:rsidRPr="00CD411E">
        <w:rPr>
          <w:rFonts w:ascii="Times New Roman" w:hAnsi="Times New Roman" w:cs="Times New Roman"/>
        </w:rPr>
        <w:t xml:space="preserve">challenges are largely structural rather than inevitable. They reflect infrastructure standards that fail to apply universal design principles, tariff systems that overlook </w:t>
      </w:r>
      <w:r w:rsidR="00944C99" w:rsidRPr="00CD411E">
        <w:rPr>
          <w:rFonts w:ascii="Times New Roman" w:hAnsi="Times New Roman" w:cs="Times New Roman"/>
        </w:rPr>
        <w:t xml:space="preserve">economic insecurity in later life, </w:t>
      </w:r>
      <w:r w:rsidR="00D71841" w:rsidRPr="00CD411E">
        <w:rPr>
          <w:rFonts w:ascii="Times New Roman" w:hAnsi="Times New Roman" w:cs="Times New Roman"/>
        </w:rPr>
        <w:t>a</w:t>
      </w:r>
      <w:r w:rsidR="00B25462" w:rsidRPr="00CD411E">
        <w:rPr>
          <w:rFonts w:ascii="Times New Roman" w:hAnsi="Times New Roman" w:cs="Times New Roman"/>
        </w:rPr>
        <w:t>nd</w:t>
      </w:r>
      <w:r w:rsidR="00D71841" w:rsidRPr="00CD411E">
        <w:rPr>
          <w:rFonts w:ascii="Times New Roman" w:hAnsi="Times New Roman" w:cs="Times New Roman"/>
        </w:rPr>
        <w:t xml:space="preserve"> </w:t>
      </w:r>
      <w:r w:rsidR="00944C99" w:rsidRPr="00CD411E">
        <w:rPr>
          <w:rFonts w:ascii="Times New Roman" w:hAnsi="Times New Roman" w:cs="Times New Roman"/>
        </w:rPr>
        <w:t xml:space="preserve">planning processes that exclude older persons from consultation and decision-making. </w:t>
      </w:r>
      <w:r w:rsidR="00F12274" w:rsidRPr="00CD411E">
        <w:rPr>
          <w:rFonts w:ascii="Times New Roman" w:hAnsi="Times New Roman" w:cs="Times New Roman"/>
        </w:rPr>
        <w:t>In humanitarian and climate-related crises, these gaps can become life-threatening, particularly where emergency water and sanitation systems are not accessible.</w:t>
      </w:r>
    </w:p>
    <w:p w14:paraId="6FA7E2E7" w14:textId="64328771" w:rsidR="00E1176A" w:rsidRPr="00CD411E" w:rsidRDefault="00E1176A" w:rsidP="00E1176A">
      <w:pPr>
        <w:pStyle w:val="ListParagraph"/>
        <w:numPr>
          <w:ilvl w:val="0"/>
          <w:numId w:val="13"/>
        </w:numPr>
        <w:spacing w:before="120" w:after="120" w:line="240" w:lineRule="auto"/>
        <w:ind w:left="0" w:firstLine="0"/>
        <w:contextualSpacing w:val="0"/>
        <w:rPr>
          <w:rFonts w:ascii="Times New Roman" w:hAnsi="Times New Roman" w:cs="Times New Roman"/>
        </w:rPr>
      </w:pPr>
      <w:r w:rsidRPr="00CD411E">
        <w:rPr>
          <w:rFonts w:ascii="Times New Roman" w:hAnsi="Times New Roman" w:cs="Times New Roman"/>
        </w:rPr>
        <w:t xml:space="preserve">Several SDG 6 targets are relevant to ageing societies. Target 6.1 on universal access to safe drinking water must address accessibility, proximity, and affordability. Target 6.2 calls for sanitation facilities that are safe and accessible, yet many lack basic features such as handrails, seating, adequate lighting, and non-slip surfaces. Target 6.3 on improving water quality is critical, as older persons are more susceptible to waterborne illness due to chronic conditions and weakened immune systems. Target 6.4 on sustainable water management must also consider the disproportionate impact of droughts, floods, and infrastructure breakdowns on older populations. Target 6.b highlights community participation, yet older persons are frequently excluded </w:t>
      </w:r>
      <w:r w:rsidR="00BF4753" w:rsidRPr="00CD411E">
        <w:rPr>
          <w:rFonts w:ascii="Times New Roman" w:hAnsi="Times New Roman" w:cs="Times New Roman"/>
        </w:rPr>
        <w:t xml:space="preserve">from programme design </w:t>
      </w:r>
      <w:r w:rsidRPr="00CD411E">
        <w:rPr>
          <w:rFonts w:ascii="Times New Roman" w:hAnsi="Times New Roman" w:cs="Times New Roman"/>
        </w:rPr>
        <w:t>despite their knowledge and experience.</w:t>
      </w:r>
    </w:p>
    <w:p w14:paraId="331C1A22" w14:textId="6A3989C1" w:rsidR="001A71E4" w:rsidRPr="00CD411E" w:rsidRDefault="00BF7653" w:rsidP="00BF7653">
      <w:pPr>
        <w:pStyle w:val="ListParagraph"/>
        <w:numPr>
          <w:ilvl w:val="0"/>
          <w:numId w:val="13"/>
        </w:numPr>
        <w:spacing w:before="120" w:after="120" w:line="240" w:lineRule="auto"/>
        <w:ind w:left="0" w:firstLine="0"/>
        <w:contextualSpacing w:val="0"/>
        <w:rPr>
          <w:rFonts w:ascii="Times New Roman" w:hAnsi="Times New Roman" w:cs="Times New Roman"/>
        </w:rPr>
      </w:pPr>
      <w:r w:rsidRPr="00CD411E">
        <w:rPr>
          <w:rFonts w:ascii="Times New Roman" w:hAnsi="Times New Roman" w:cs="Times New Roman"/>
        </w:rPr>
        <w:t>Encouraging examples demonstrate that age-responsive approaches are achievable. International guidance and operational experience developed by UNOPS</w:t>
      </w:r>
      <w:r w:rsidR="001A71E4" w:rsidRPr="00CD411E">
        <w:rPr>
          <w:rStyle w:val="EndnoteReference"/>
          <w:rFonts w:ascii="Times New Roman" w:hAnsi="Times New Roman" w:cs="Times New Roman"/>
        </w:rPr>
        <w:endnoteReference w:id="1"/>
      </w:r>
      <w:r w:rsidR="001A71E4" w:rsidRPr="00CD411E">
        <w:rPr>
          <w:rFonts w:ascii="Times New Roman" w:hAnsi="Times New Roman" w:cs="Times New Roman"/>
        </w:rPr>
        <w:t xml:space="preserve"> and UNICEF</w:t>
      </w:r>
      <w:r w:rsidR="001A71E4" w:rsidRPr="00CD411E">
        <w:rPr>
          <w:rStyle w:val="EndnoteReference"/>
          <w:rFonts w:ascii="Times New Roman" w:hAnsi="Times New Roman" w:cs="Times New Roman"/>
        </w:rPr>
        <w:endnoteReference w:id="2"/>
      </w:r>
      <w:r w:rsidR="001A71E4" w:rsidRPr="00CD411E">
        <w:rPr>
          <w:rFonts w:ascii="Times New Roman" w:hAnsi="Times New Roman" w:cs="Times New Roman"/>
        </w:rPr>
        <w:t xml:space="preserve">, promote </w:t>
      </w:r>
      <w:r w:rsidR="0025234B" w:rsidRPr="00CD411E">
        <w:rPr>
          <w:rFonts w:ascii="Times New Roman" w:hAnsi="Times New Roman" w:cs="Times New Roman"/>
        </w:rPr>
        <w:t>ag</w:t>
      </w:r>
      <w:r w:rsidR="00315D4F" w:rsidRPr="00CD411E">
        <w:rPr>
          <w:rFonts w:ascii="Times New Roman" w:hAnsi="Times New Roman" w:cs="Times New Roman"/>
        </w:rPr>
        <w:t>e</w:t>
      </w:r>
      <w:r w:rsidR="0025234B" w:rsidRPr="00CD411E">
        <w:rPr>
          <w:rFonts w:ascii="Times New Roman" w:hAnsi="Times New Roman" w:cs="Times New Roman"/>
        </w:rPr>
        <w:t xml:space="preserve"> and disability </w:t>
      </w:r>
      <w:r w:rsidR="001A71E4" w:rsidRPr="00CD411E">
        <w:rPr>
          <w:rFonts w:ascii="Times New Roman" w:hAnsi="Times New Roman" w:cs="Times New Roman"/>
        </w:rPr>
        <w:t xml:space="preserve">inclusive WASH infrastructure designed for accessibility and dignity. Research initiatives in Central Sulawesi, Indonesia, show the value of involving older persons in identifying barriers and designing </w:t>
      </w:r>
      <w:r w:rsidR="0025234B" w:rsidRPr="00CD411E">
        <w:rPr>
          <w:rFonts w:ascii="Times New Roman" w:hAnsi="Times New Roman" w:cs="Times New Roman"/>
        </w:rPr>
        <w:t xml:space="preserve">age </w:t>
      </w:r>
      <w:r w:rsidR="001A71E4" w:rsidRPr="00CD411E">
        <w:rPr>
          <w:rFonts w:ascii="Times New Roman" w:hAnsi="Times New Roman" w:cs="Times New Roman"/>
        </w:rPr>
        <w:t>inclusive solutions following natural disasters.</w:t>
      </w:r>
    </w:p>
    <w:p w14:paraId="4CF6B4E5" w14:textId="5EFDF256" w:rsidR="001A71E4" w:rsidRPr="00CD411E" w:rsidRDefault="001A71E4" w:rsidP="00F07B6D">
      <w:pPr>
        <w:pStyle w:val="ListParagraph"/>
        <w:numPr>
          <w:ilvl w:val="0"/>
          <w:numId w:val="13"/>
        </w:numPr>
        <w:spacing w:before="120" w:after="120" w:line="240" w:lineRule="auto"/>
        <w:ind w:left="0" w:firstLine="0"/>
        <w:contextualSpacing w:val="0"/>
        <w:rPr>
          <w:rFonts w:ascii="Times New Roman" w:hAnsi="Times New Roman" w:cs="Times New Roman"/>
        </w:rPr>
      </w:pPr>
      <w:r w:rsidRPr="00CD411E">
        <w:rPr>
          <w:rFonts w:ascii="Times New Roman" w:hAnsi="Times New Roman" w:cs="Times New Roman"/>
        </w:rPr>
        <w:t xml:space="preserve">South–South cooperation initiatives have expanded water and sanitation programmes across Africa and other regions, illustrating how community-based approaches can strengthen resilience while improving access for all, including </w:t>
      </w:r>
      <w:r w:rsidR="0025234B" w:rsidRPr="00CD411E">
        <w:rPr>
          <w:rFonts w:ascii="Times New Roman" w:hAnsi="Times New Roman" w:cs="Times New Roman"/>
        </w:rPr>
        <w:t xml:space="preserve">for </w:t>
      </w:r>
      <w:r w:rsidRPr="00CD411E">
        <w:rPr>
          <w:rFonts w:ascii="Times New Roman" w:hAnsi="Times New Roman" w:cs="Times New Roman"/>
        </w:rPr>
        <w:t xml:space="preserve">older persons. Similar community-based approaches </w:t>
      </w:r>
      <w:r w:rsidR="0025234B" w:rsidRPr="00CD411E">
        <w:rPr>
          <w:rFonts w:ascii="Times New Roman" w:hAnsi="Times New Roman" w:cs="Times New Roman"/>
        </w:rPr>
        <w:t xml:space="preserve">can be seen </w:t>
      </w:r>
      <w:r w:rsidRPr="00CD411E">
        <w:rPr>
          <w:rFonts w:ascii="Times New Roman" w:hAnsi="Times New Roman" w:cs="Times New Roman"/>
        </w:rPr>
        <w:t xml:space="preserve">in India, where </w:t>
      </w:r>
      <w:r w:rsidR="0025234B" w:rsidRPr="00CD411E">
        <w:rPr>
          <w:rFonts w:ascii="Times New Roman" w:hAnsi="Times New Roman" w:cs="Times New Roman"/>
        </w:rPr>
        <w:t>NGO</w:t>
      </w:r>
      <w:r w:rsidR="00315D4F" w:rsidRPr="00CD411E">
        <w:rPr>
          <w:rFonts w:ascii="Times New Roman" w:hAnsi="Times New Roman" w:cs="Times New Roman"/>
        </w:rPr>
        <w:t>s</w:t>
      </w:r>
      <w:r w:rsidR="0025234B" w:rsidRPr="00CD411E">
        <w:rPr>
          <w:rFonts w:ascii="Times New Roman" w:hAnsi="Times New Roman" w:cs="Times New Roman"/>
        </w:rPr>
        <w:t xml:space="preserve"> </w:t>
      </w:r>
      <w:r w:rsidRPr="00CD411E">
        <w:rPr>
          <w:rFonts w:ascii="Times New Roman" w:hAnsi="Times New Roman" w:cs="Times New Roman"/>
        </w:rPr>
        <w:t xml:space="preserve">such as GRAVIS have supported older persons’ groups in drought-prone regions </w:t>
      </w:r>
      <w:r w:rsidR="00315D4F" w:rsidRPr="00CD411E">
        <w:rPr>
          <w:rFonts w:ascii="Times New Roman" w:hAnsi="Times New Roman" w:cs="Times New Roman"/>
        </w:rPr>
        <w:t xml:space="preserve">enabling them </w:t>
      </w:r>
      <w:r w:rsidRPr="00CD411E">
        <w:rPr>
          <w:rFonts w:ascii="Times New Roman" w:hAnsi="Times New Roman" w:cs="Times New Roman"/>
        </w:rPr>
        <w:t xml:space="preserve">to lead </w:t>
      </w:r>
      <w:r w:rsidR="00690887" w:rsidRPr="00CD411E">
        <w:rPr>
          <w:rFonts w:ascii="Times New Roman" w:hAnsi="Times New Roman" w:cs="Times New Roman"/>
        </w:rPr>
        <w:t>initiatives</w:t>
      </w:r>
      <w:r w:rsidR="0025234B" w:rsidRPr="00CD411E">
        <w:rPr>
          <w:rFonts w:ascii="Times New Roman" w:hAnsi="Times New Roman" w:cs="Times New Roman"/>
        </w:rPr>
        <w:t xml:space="preserve"> for </w:t>
      </w:r>
      <w:r w:rsidRPr="00CD411E">
        <w:rPr>
          <w:rFonts w:ascii="Times New Roman" w:hAnsi="Times New Roman" w:cs="Times New Roman"/>
        </w:rPr>
        <w:t>water security, climate resilience, and community-based resource management</w:t>
      </w:r>
      <w:r w:rsidR="0025234B" w:rsidRPr="00CD411E">
        <w:rPr>
          <w:rFonts w:ascii="Times New Roman" w:hAnsi="Times New Roman" w:cs="Times New Roman"/>
        </w:rPr>
        <w:t>.</w:t>
      </w:r>
      <w:r w:rsidRPr="00CD411E">
        <w:rPr>
          <w:rStyle w:val="EndnoteReference"/>
          <w:rFonts w:ascii="Times New Roman" w:hAnsi="Times New Roman" w:cs="Times New Roman"/>
        </w:rPr>
        <w:endnoteReference w:id="3"/>
      </w:r>
      <w:r w:rsidRPr="00CD411E">
        <w:rPr>
          <w:rFonts w:ascii="Times New Roman" w:hAnsi="Times New Roman" w:cs="Times New Roman"/>
        </w:rPr>
        <w:t xml:space="preserve">. </w:t>
      </w:r>
      <w:r w:rsidR="0025234B" w:rsidRPr="00CD411E">
        <w:rPr>
          <w:rFonts w:ascii="Times New Roman" w:hAnsi="Times New Roman" w:cs="Times New Roman"/>
        </w:rPr>
        <w:t>T</w:t>
      </w:r>
      <w:r w:rsidRPr="00CD411E">
        <w:rPr>
          <w:rFonts w:ascii="Times New Roman" w:hAnsi="Times New Roman" w:cs="Times New Roman"/>
        </w:rPr>
        <w:t xml:space="preserve">he #GreyAndGreen </w:t>
      </w:r>
      <w:r w:rsidR="0025234B" w:rsidRPr="00CD411E">
        <w:rPr>
          <w:rFonts w:ascii="Times New Roman" w:hAnsi="Times New Roman" w:cs="Times New Roman"/>
        </w:rPr>
        <w:t xml:space="preserve">advocacy </w:t>
      </w:r>
      <w:r w:rsidRPr="00CD411E">
        <w:rPr>
          <w:rFonts w:ascii="Times New Roman" w:hAnsi="Times New Roman" w:cs="Times New Roman"/>
        </w:rPr>
        <w:t>manifesto</w:t>
      </w:r>
      <w:r w:rsidRPr="00CD411E">
        <w:rPr>
          <w:rStyle w:val="EndnoteReference"/>
          <w:rFonts w:ascii="Times New Roman" w:hAnsi="Times New Roman" w:cs="Times New Roman"/>
        </w:rPr>
        <w:endnoteReference w:id="4"/>
      </w:r>
      <w:r w:rsidRPr="00CD411E">
        <w:rPr>
          <w:rFonts w:ascii="Times New Roman" w:hAnsi="Times New Roman" w:cs="Times New Roman"/>
        </w:rPr>
        <w:t xml:space="preserve"> promoted by HelpAge International </w:t>
      </w:r>
      <w:r w:rsidR="0025234B" w:rsidRPr="00CD411E">
        <w:rPr>
          <w:rFonts w:ascii="Times New Roman" w:hAnsi="Times New Roman" w:cs="Times New Roman"/>
        </w:rPr>
        <w:t>demonstrates</w:t>
      </w:r>
      <w:r w:rsidRPr="00CD411E">
        <w:rPr>
          <w:rFonts w:ascii="Times New Roman" w:hAnsi="Times New Roman" w:cs="Times New Roman"/>
        </w:rPr>
        <w:t xml:space="preserve"> the role of older persons</w:t>
      </w:r>
      <w:r w:rsidR="00690887" w:rsidRPr="00CD411E">
        <w:rPr>
          <w:rFonts w:ascii="Times New Roman" w:hAnsi="Times New Roman" w:cs="Times New Roman"/>
        </w:rPr>
        <w:t xml:space="preserve"> </w:t>
      </w:r>
      <w:r w:rsidR="00315D4F" w:rsidRPr="00CD411E">
        <w:rPr>
          <w:rFonts w:ascii="Times New Roman" w:hAnsi="Times New Roman" w:cs="Times New Roman"/>
        </w:rPr>
        <w:t>in</w:t>
      </w:r>
      <w:r w:rsidRPr="00CD411E">
        <w:rPr>
          <w:rFonts w:ascii="Times New Roman" w:hAnsi="Times New Roman" w:cs="Times New Roman"/>
        </w:rPr>
        <w:t xml:space="preserve"> climate and water governance</w:t>
      </w:r>
      <w:r w:rsidRPr="00CD411E">
        <w:rPr>
          <w:rStyle w:val="EndnoteReference"/>
          <w:rFonts w:ascii="Times New Roman" w:hAnsi="Times New Roman" w:cs="Times New Roman"/>
        </w:rPr>
        <w:endnoteReference w:id="5"/>
      </w:r>
      <w:r w:rsidRPr="00CD411E">
        <w:rPr>
          <w:rFonts w:ascii="Times New Roman" w:hAnsi="Times New Roman" w:cs="Times New Roman"/>
        </w:rPr>
        <w:t xml:space="preserve">. </w:t>
      </w:r>
    </w:p>
    <w:p w14:paraId="72F1E3BC" w14:textId="77777777" w:rsidR="001A71E4" w:rsidRPr="00CD411E" w:rsidRDefault="001A71E4" w:rsidP="009A23B8">
      <w:pPr>
        <w:pStyle w:val="ListParagraph"/>
        <w:spacing w:before="120" w:after="120" w:line="240" w:lineRule="auto"/>
        <w:ind w:left="0"/>
        <w:contextualSpacing w:val="0"/>
        <w:rPr>
          <w:rFonts w:ascii="Times New Roman" w:hAnsi="Times New Roman" w:cs="Times New Roman"/>
        </w:rPr>
      </w:pPr>
    </w:p>
    <w:p w14:paraId="305A3C90" w14:textId="77777777" w:rsidR="001A71E4" w:rsidRPr="00CD411E" w:rsidRDefault="001A71E4" w:rsidP="00DB591B">
      <w:pPr>
        <w:ind w:left="426" w:hanging="426"/>
        <w:rPr>
          <w:rFonts w:ascii="Times New Roman" w:hAnsi="Times New Roman" w:cs="Times New Roman"/>
          <w:b/>
          <w:bCs/>
        </w:rPr>
      </w:pPr>
      <w:r w:rsidRPr="00CD411E">
        <w:rPr>
          <w:rFonts w:ascii="Times New Roman" w:hAnsi="Times New Roman" w:cs="Times New Roman"/>
          <w:b/>
          <w:bCs/>
        </w:rPr>
        <w:t xml:space="preserve">  Recommendations</w:t>
      </w:r>
    </w:p>
    <w:p w14:paraId="10D22793" w14:textId="13E42812" w:rsidR="001A71E4" w:rsidRPr="00CD411E" w:rsidRDefault="001A71E4" w:rsidP="00DB591B">
      <w:pPr>
        <w:pStyle w:val="ListParagraph"/>
        <w:numPr>
          <w:ilvl w:val="0"/>
          <w:numId w:val="4"/>
        </w:numPr>
        <w:ind w:left="426" w:hanging="426"/>
        <w:rPr>
          <w:rFonts w:ascii="Times New Roman" w:hAnsi="Times New Roman" w:cs="Times New Roman"/>
        </w:rPr>
      </w:pPr>
      <w:r w:rsidRPr="00CD411E">
        <w:rPr>
          <w:rFonts w:ascii="Times New Roman" w:hAnsi="Times New Roman" w:cs="Times New Roman"/>
        </w:rPr>
        <w:t>Integrate age</w:t>
      </w:r>
      <w:r w:rsidR="0025234B" w:rsidRPr="00CD411E">
        <w:rPr>
          <w:rFonts w:ascii="Times New Roman" w:hAnsi="Times New Roman" w:cs="Times New Roman"/>
        </w:rPr>
        <w:t xml:space="preserve"> </w:t>
      </w:r>
      <w:r w:rsidRPr="00CD411E">
        <w:rPr>
          <w:rFonts w:ascii="Times New Roman" w:hAnsi="Times New Roman" w:cs="Times New Roman"/>
        </w:rPr>
        <w:t xml:space="preserve">-disaggregated data into SDG 6 monitoring frameworks and Voluntary National Reviews. </w:t>
      </w:r>
    </w:p>
    <w:p w14:paraId="6944DBE9" w14:textId="77777777" w:rsidR="001A71E4" w:rsidRPr="00CD411E" w:rsidRDefault="001A71E4" w:rsidP="00DB591B">
      <w:pPr>
        <w:pStyle w:val="ListParagraph"/>
        <w:numPr>
          <w:ilvl w:val="0"/>
          <w:numId w:val="4"/>
        </w:numPr>
        <w:ind w:left="426" w:hanging="426"/>
        <w:rPr>
          <w:rFonts w:ascii="Times New Roman" w:hAnsi="Times New Roman" w:cs="Times New Roman"/>
        </w:rPr>
      </w:pPr>
      <w:r w:rsidRPr="00CD411E">
        <w:rPr>
          <w:rFonts w:ascii="Times New Roman" w:hAnsi="Times New Roman" w:cs="Times New Roman"/>
        </w:rPr>
        <w:t>Mandate universal design standards in water and sanitation infrastructure, including in humanitarian settings.</w:t>
      </w:r>
    </w:p>
    <w:p w14:paraId="11B56B9D" w14:textId="77777777" w:rsidR="001A71E4" w:rsidRPr="00CD411E" w:rsidRDefault="001A71E4" w:rsidP="00DB591B">
      <w:pPr>
        <w:pStyle w:val="ListParagraph"/>
        <w:numPr>
          <w:ilvl w:val="0"/>
          <w:numId w:val="4"/>
        </w:numPr>
        <w:ind w:left="426" w:hanging="426"/>
        <w:rPr>
          <w:rFonts w:ascii="Times New Roman" w:hAnsi="Times New Roman" w:cs="Times New Roman"/>
        </w:rPr>
      </w:pPr>
      <w:r w:rsidRPr="00CD411E">
        <w:rPr>
          <w:rFonts w:ascii="Times New Roman" w:hAnsi="Times New Roman" w:cs="Times New Roman"/>
        </w:rPr>
        <w:t>Ensure affordability of water services through pricing structures and subsidies that protect low-income older households.</w:t>
      </w:r>
    </w:p>
    <w:p w14:paraId="77EE2413" w14:textId="5AB71F07" w:rsidR="001A71E4" w:rsidRPr="00CD411E" w:rsidRDefault="001A71E4" w:rsidP="00DB591B">
      <w:pPr>
        <w:pStyle w:val="ListParagraph"/>
        <w:numPr>
          <w:ilvl w:val="0"/>
          <w:numId w:val="4"/>
        </w:numPr>
        <w:ind w:left="426" w:hanging="426"/>
        <w:rPr>
          <w:rFonts w:ascii="Times New Roman" w:hAnsi="Times New Roman" w:cs="Times New Roman"/>
        </w:rPr>
      </w:pPr>
      <w:r w:rsidRPr="00CD411E">
        <w:rPr>
          <w:rFonts w:ascii="Times New Roman" w:hAnsi="Times New Roman" w:cs="Times New Roman"/>
        </w:rPr>
        <w:t>Integrate ageing in climate-resilient water management, including risk mapping and disaster preparedness.</w:t>
      </w:r>
    </w:p>
    <w:p w14:paraId="05EAD608" w14:textId="7152C6AE" w:rsidR="001A71E4" w:rsidRPr="00CD411E" w:rsidRDefault="001A71E4" w:rsidP="00DB591B">
      <w:pPr>
        <w:pStyle w:val="ListParagraph"/>
        <w:numPr>
          <w:ilvl w:val="0"/>
          <w:numId w:val="4"/>
        </w:numPr>
        <w:ind w:left="426" w:hanging="426"/>
        <w:rPr>
          <w:rFonts w:ascii="Times New Roman" w:hAnsi="Times New Roman" w:cs="Times New Roman"/>
        </w:rPr>
      </w:pPr>
      <w:r w:rsidRPr="00CD411E">
        <w:rPr>
          <w:rFonts w:ascii="Times New Roman" w:hAnsi="Times New Roman" w:cs="Times New Roman"/>
        </w:rPr>
        <w:t xml:space="preserve">Ensure </w:t>
      </w:r>
      <w:r w:rsidR="00315D4F" w:rsidRPr="00CD411E">
        <w:rPr>
          <w:rFonts w:ascii="Times New Roman" w:hAnsi="Times New Roman" w:cs="Times New Roman"/>
        </w:rPr>
        <w:t xml:space="preserve">the </w:t>
      </w:r>
      <w:r w:rsidRPr="00CD411E">
        <w:rPr>
          <w:rFonts w:ascii="Times New Roman" w:hAnsi="Times New Roman" w:cs="Times New Roman"/>
        </w:rPr>
        <w:t>meaningful participation of older persons and their organizations in water governance in line with Target 6.b.</w:t>
      </w:r>
    </w:p>
    <w:p w14:paraId="61D395B2" w14:textId="77777777" w:rsidR="001A71E4" w:rsidRPr="00CD411E" w:rsidRDefault="001A71E4" w:rsidP="007524A9">
      <w:pPr>
        <w:pStyle w:val="ListParagraph"/>
        <w:ind w:left="426"/>
        <w:rPr>
          <w:rFonts w:ascii="Times New Roman" w:hAnsi="Times New Roman" w:cs="Times New Roman"/>
        </w:rPr>
      </w:pPr>
    </w:p>
    <w:p w14:paraId="460E2375" w14:textId="26B22482" w:rsidR="001A71E4" w:rsidRPr="00CD411E" w:rsidRDefault="006F79E5" w:rsidP="004E5B55">
      <w:pPr>
        <w:pStyle w:val="ListParagraph"/>
        <w:ind w:left="0"/>
        <w:rPr>
          <w:rFonts w:ascii="Times New Roman" w:hAnsi="Times New Roman" w:cs="Times New Roman"/>
        </w:rPr>
      </w:pPr>
      <w:r>
        <w:pict w14:anchorId="1F099899">
          <v:rect id="Horizontal Line 5" o:spid="_x0000_s1035"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6BCA9D7" w14:textId="77777777" w:rsidR="001A71E4" w:rsidRPr="00CD411E" w:rsidRDefault="001A71E4" w:rsidP="007524A9">
      <w:pPr>
        <w:pStyle w:val="ListParagraph"/>
        <w:ind w:left="426"/>
        <w:rPr>
          <w:rFonts w:ascii="Times New Roman" w:hAnsi="Times New Roman" w:cs="Times New Roman"/>
        </w:rPr>
      </w:pPr>
    </w:p>
    <w:p w14:paraId="0729CF86" w14:textId="38F7DD5C" w:rsidR="001A71E4" w:rsidRPr="00CD411E" w:rsidRDefault="001A71E4" w:rsidP="00D123AE">
      <w:pPr>
        <w:pStyle w:val="ListParagraph"/>
        <w:spacing w:before="120" w:after="120" w:line="240" w:lineRule="auto"/>
        <w:ind w:left="0"/>
        <w:contextualSpacing w:val="0"/>
        <w:rPr>
          <w:rFonts w:ascii="Times New Roman" w:hAnsi="Times New Roman" w:cs="Times New Roman"/>
        </w:rPr>
      </w:pPr>
    </w:p>
    <w:p w14:paraId="768336D4" w14:textId="0D22B3A5" w:rsidR="001A71E4" w:rsidRPr="00CD411E" w:rsidRDefault="001A71E4" w:rsidP="007524A9">
      <w:pPr>
        <w:spacing w:before="120" w:after="120" w:line="240" w:lineRule="auto"/>
        <w:rPr>
          <w:rFonts w:ascii="Times New Roman" w:hAnsi="Times New Roman" w:cs="Times New Roman"/>
          <w:b/>
          <w:bCs/>
          <w:i/>
          <w:iCs/>
        </w:rPr>
      </w:pPr>
      <w:r w:rsidRPr="00CD411E">
        <w:rPr>
          <w:rFonts w:ascii="Times New Roman" w:hAnsi="Times New Roman" w:cs="Times New Roman"/>
          <w:b/>
          <w:bCs/>
        </w:rPr>
        <w:t xml:space="preserve">SDG 7 — Affordable and Clean Energy. Energy and Ageing Societies </w:t>
      </w:r>
    </w:p>
    <w:p w14:paraId="5306CEEF" w14:textId="5AFA3858" w:rsidR="001A71E4" w:rsidRPr="00CD411E" w:rsidRDefault="001A71E4" w:rsidP="007524A9">
      <w:pPr>
        <w:spacing w:before="120" w:after="120" w:line="240" w:lineRule="auto"/>
        <w:rPr>
          <w:rFonts w:ascii="Times New Roman" w:hAnsi="Times New Roman" w:cs="Times New Roman"/>
          <w:i/>
          <w:iCs/>
        </w:rPr>
      </w:pPr>
    </w:p>
    <w:p w14:paraId="22DB5D87" w14:textId="6499F85C" w:rsidR="001A71E4" w:rsidRPr="00CD411E" w:rsidRDefault="001A71E4" w:rsidP="007524A9">
      <w:pPr>
        <w:spacing w:before="120" w:after="120" w:line="240" w:lineRule="auto"/>
        <w:rPr>
          <w:rFonts w:ascii="Times New Roman" w:hAnsi="Times New Roman" w:cs="Times New Roman"/>
          <w:b/>
          <w:bCs/>
          <w:i/>
          <w:iCs/>
        </w:rPr>
      </w:pPr>
      <w:r w:rsidRPr="00CD411E">
        <w:rPr>
          <w:rFonts w:ascii="Times New Roman" w:hAnsi="Times New Roman" w:cs="Times New Roman"/>
          <w:b/>
          <w:bCs/>
          <w:i/>
          <w:iCs/>
        </w:rPr>
        <w:t>Affordable, reliable, and sustainable energy systems must address energy poverty and accessibility challenges affecting older persons.</w:t>
      </w:r>
    </w:p>
    <w:p w14:paraId="29FF49B3" w14:textId="77777777" w:rsidR="00690887" w:rsidRPr="00CD411E" w:rsidRDefault="00690887" w:rsidP="007524A9">
      <w:pPr>
        <w:spacing w:before="120" w:after="120" w:line="240" w:lineRule="auto"/>
        <w:rPr>
          <w:rFonts w:ascii="Times New Roman" w:hAnsi="Times New Roman" w:cs="Times New Roman"/>
          <w:b/>
          <w:bCs/>
          <w:i/>
          <w:iCs/>
        </w:rPr>
      </w:pPr>
    </w:p>
    <w:p w14:paraId="5AEEA28F" w14:textId="77777777" w:rsidR="00690887" w:rsidRPr="00CD411E" w:rsidRDefault="00315D4F" w:rsidP="00690887">
      <w:pPr>
        <w:spacing w:before="120" w:after="120" w:line="240" w:lineRule="auto"/>
        <w:rPr>
          <w:rFonts w:ascii="Times New Roman" w:hAnsi="Times New Roman" w:cs="Times New Roman"/>
        </w:rPr>
      </w:pPr>
      <w:r w:rsidRPr="00CD411E">
        <w:rPr>
          <w:rFonts w:ascii="Times New Roman" w:hAnsi="Times New Roman" w:cs="Times New Roman"/>
        </w:rPr>
        <w:t>17.</w:t>
      </w:r>
      <w:r w:rsidR="00690887" w:rsidRPr="00CD411E">
        <w:rPr>
          <w:rFonts w:ascii="Times New Roman" w:hAnsi="Times New Roman" w:cs="Times New Roman"/>
        </w:rPr>
        <w:t xml:space="preserve"> </w:t>
      </w:r>
      <w:r w:rsidR="001A71E4" w:rsidRPr="00CD411E">
        <w:rPr>
          <w:rFonts w:ascii="Times New Roman" w:hAnsi="Times New Roman" w:cs="Times New Roman"/>
        </w:rPr>
        <w:t xml:space="preserve">Population ageing reshapes patterns of energy demand, affordability, and vulnerability across all regions, requiring energy policies </w:t>
      </w:r>
      <w:r w:rsidRPr="00CD411E">
        <w:rPr>
          <w:rFonts w:ascii="Times New Roman" w:hAnsi="Times New Roman" w:cs="Times New Roman"/>
        </w:rPr>
        <w:t xml:space="preserve">that are </w:t>
      </w:r>
      <w:r w:rsidR="001A71E4" w:rsidRPr="00CD411E">
        <w:rPr>
          <w:rFonts w:ascii="Times New Roman" w:hAnsi="Times New Roman" w:cs="Times New Roman"/>
        </w:rPr>
        <w:t>responsive to the realities of ageing societies.</w:t>
      </w:r>
      <w:r w:rsidR="002D4FD8" w:rsidRPr="00CD411E">
        <w:rPr>
          <w:rFonts w:ascii="Times New Roman" w:hAnsi="Times New Roman" w:cs="Times New Roman"/>
        </w:rPr>
        <w:t xml:space="preserve"> Aligning energy policies with demographic ageing realities is essential for ensuring that the transition to sustainable energy systems is equitable, effective and inclusive.</w:t>
      </w:r>
    </w:p>
    <w:p w14:paraId="7E17B717" w14:textId="77777777" w:rsidR="00BC56ED" w:rsidRPr="00CD411E" w:rsidRDefault="00690887" w:rsidP="00BC56ED">
      <w:pPr>
        <w:spacing w:before="120" w:after="120" w:line="240" w:lineRule="auto"/>
        <w:rPr>
          <w:rFonts w:ascii="Times New Roman" w:hAnsi="Times New Roman" w:cs="Times New Roman"/>
        </w:rPr>
      </w:pPr>
      <w:r w:rsidRPr="00CD411E">
        <w:rPr>
          <w:rFonts w:ascii="Times New Roman" w:hAnsi="Times New Roman" w:cs="Times New Roman"/>
        </w:rPr>
        <w:t>18. E</w:t>
      </w:r>
      <w:r w:rsidR="001A71E4" w:rsidRPr="00CD411E">
        <w:rPr>
          <w:rFonts w:ascii="Times New Roman" w:hAnsi="Times New Roman" w:cs="Times New Roman"/>
        </w:rPr>
        <w:t>nergy access is a key determinant of health, well-being, and autonomy in later life. Older persons are more likely to spend extended periods at home</w:t>
      </w:r>
      <w:r w:rsidR="00E01F91" w:rsidRPr="00CD411E">
        <w:rPr>
          <w:rFonts w:ascii="Times New Roman" w:hAnsi="Times New Roman" w:cs="Times New Roman"/>
        </w:rPr>
        <w:t xml:space="preserve"> and therefore</w:t>
      </w:r>
      <w:r w:rsidR="001A71E4" w:rsidRPr="00CD411E">
        <w:rPr>
          <w:rFonts w:ascii="Times New Roman" w:hAnsi="Times New Roman" w:cs="Times New Roman"/>
        </w:rPr>
        <w:t xml:space="preserve"> </w:t>
      </w:r>
      <w:r w:rsidR="0025234B" w:rsidRPr="00CD411E">
        <w:rPr>
          <w:rFonts w:ascii="Times New Roman" w:hAnsi="Times New Roman" w:cs="Times New Roman"/>
        </w:rPr>
        <w:t>require</w:t>
      </w:r>
      <w:r w:rsidR="001A71E4" w:rsidRPr="00CD411E">
        <w:rPr>
          <w:rFonts w:ascii="Times New Roman" w:hAnsi="Times New Roman" w:cs="Times New Roman"/>
        </w:rPr>
        <w:t xml:space="preserve"> stable indoor temperatures, and </w:t>
      </w:r>
      <w:r w:rsidR="00E01F91" w:rsidRPr="00CD411E">
        <w:rPr>
          <w:rFonts w:ascii="Times New Roman" w:hAnsi="Times New Roman" w:cs="Times New Roman"/>
        </w:rPr>
        <w:t xml:space="preserve">they </w:t>
      </w:r>
      <w:r w:rsidR="0051304B" w:rsidRPr="00CD411E">
        <w:rPr>
          <w:rFonts w:ascii="Times New Roman" w:hAnsi="Times New Roman" w:cs="Times New Roman"/>
        </w:rPr>
        <w:t xml:space="preserve">may </w:t>
      </w:r>
      <w:r w:rsidR="00E01F91" w:rsidRPr="00CD411E">
        <w:rPr>
          <w:rFonts w:ascii="Times New Roman" w:hAnsi="Times New Roman" w:cs="Times New Roman"/>
        </w:rPr>
        <w:t>need</w:t>
      </w:r>
      <w:r w:rsidR="001A71E4" w:rsidRPr="00CD411E">
        <w:rPr>
          <w:rFonts w:ascii="Times New Roman" w:hAnsi="Times New Roman" w:cs="Times New Roman"/>
        </w:rPr>
        <w:t xml:space="preserve"> electrically powered medical equipment, mobility aids, and assistive technologies. Reliable and affordable energy is therefore essential not only for basic services but also for independent living.</w:t>
      </w:r>
    </w:p>
    <w:p w14:paraId="34598CF7" w14:textId="2751AAF4" w:rsidR="001A71E4" w:rsidRPr="00CD411E" w:rsidRDefault="00690887" w:rsidP="00BC56ED">
      <w:pPr>
        <w:spacing w:before="120" w:after="120" w:line="240" w:lineRule="auto"/>
        <w:rPr>
          <w:rFonts w:ascii="Times New Roman" w:hAnsi="Times New Roman" w:cs="Times New Roman"/>
        </w:rPr>
      </w:pPr>
      <w:r w:rsidRPr="00CD411E">
        <w:rPr>
          <w:rFonts w:ascii="Times New Roman" w:hAnsi="Times New Roman" w:cs="Times New Roman"/>
        </w:rPr>
        <w:t xml:space="preserve">19. </w:t>
      </w:r>
      <w:r w:rsidR="001A71E4" w:rsidRPr="00CD411E">
        <w:rPr>
          <w:rFonts w:ascii="Times New Roman" w:hAnsi="Times New Roman" w:cs="Times New Roman"/>
        </w:rPr>
        <w:t xml:space="preserve">Many older persons experience energy poverty. </w:t>
      </w:r>
      <w:r w:rsidR="0051304B" w:rsidRPr="00CD411E">
        <w:rPr>
          <w:rFonts w:ascii="Times New Roman" w:hAnsi="Times New Roman" w:cs="Times New Roman"/>
        </w:rPr>
        <w:t>Energy consumption increases with age due to higher thermal comfort needs,</w:t>
      </w:r>
      <w:r w:rsidRPr="00CD411E">
        <w:rPr>
          <w:rFonts w:ascii="Times New Roman" w:hAnsi="Times New Roman" w:cs="Times New Roman"/>
        </w:rPr>
        <w:t xml:space="preserve"> </w:t>
      </w:r>
      <w:r w:rsidR="00E01F91" w:rsidRPr="00CD411E">
        <w:rPr>
          <w:rFonts w:ascii="Times New Roman" w:hAnsi="Times New Roman" w:cs="Times New Roman"/>
        </w:rPr>
        <w:t xml:space="preserve">which again raises issues of </w:t>
      </w:r>
      <w:r w:rsidR="0051304B" w:rsidRPr="00CD411E">
        <w:rPr>
          <w:rFonts w:ascii="Times New Roman" w:hAnsi="Times New Roman" w:cs="Times New Roman"/>
        </w:rPr>
        <w:t>affordability</w:t>
      </w:r>
      <w:r w:rsidR="00E01F91" w:rsidRPr="00CD411E">
        <w:rPr>
          <w:rFonts w:ascii="Times New Roman" w:hAnsi="Times New Roman" w:cs="Times New Roman"/>
        </w:rPr>
        <w:t>.</w:t>
      </w:r>
      <w:r w:rsidR="0051304B" w:rsidRPr="00CD411E">
        <w:rPr>
          <w:rFonts w:ascii="Times New Roman" w:hAnsi="Times New Roman" w:cs="Times New Roman"/>
        </w:rPr>
        <w:t xml:space="preserve"> </w:t>
      </w:r>
      <w:r w:rsidR="001A71E4" w:rsidRPr="00CD411E">
        <w:rPr>
          <w:rFonts w:ascii="Times New Roman" w:hAnsi="Times New Roman" w:cs="Times New Roman"/>
        </w:rPr>
        <w:t>High energy costs relative to fixed</w:t>
      </w:r>
      <w:r w:rsidR="0051304B" w:rsidRPr="00CD411E">
        <w:rPr>
          <w:rFonts w:ascii="Times New Roman" w:hAnsi="Times New Roman" w:cs="Times New Roman"/>
        </w:rPr>
        <w:t xml:space="preserve">, declining </w:t>
      </w:r>
      <w:r w:rsidR="000223D6" w:rsidRPr="00CD411E">
        <w:rPr>
          <w:rFonts w:ascii="Times New Roman" w:hAnsi="Times New Roman" w:cs="Times New Roman"/>
        </w:rPr>
        <w:t>and limited</w:t>
      </w:r>
      <w:r w:rsidR="001A71E4" w:rsidRPr="00CD411E">
        <w:rPr>
          <w:rFonts w:ascii="Times New Roman" w:hAnsi="Times New Roman" w:cs="Times New Roman"/>
        </w:rPr>
        <w:t xml:space="preserve"> incomes </w:t>
      </w:r>
      <w:r w:rsidR="00E01F91" w:rsidRPr="00CD411E">
        <w:rPr>
          <w:rFonts w:ascii="Times New Roman" w:hAnsi="Times New Roman" w:cs="Times New Roman"/>
        </w:rPr>
        <w:t>impose</w:t>
      </w:r>
      <w:r w:rsidR="001A71E4" w:rsidRPr="00CD411E">
        <w:rPr>
          <w:rFonts w:ascii="Times New Roman" w:hAnsi="Times New Roman" w:cs="Times New Roman"/>
        </w:rPr>
        <w:t xml:space="preserve"> difficult choices between heating or cooling, food, or medication. This situation </w:t>
      </w:r>
      <w:r w:rsidR="00E01F91" w:rsidRPr="00CD411E">
        <w:rPr>
          <w:rFonts w:ascii="Times New Roman" w:hAnsi="Times New Roman" w:cs="Times New Roman"/>
        </w:rPr>
        <w:t>felt more sharply by</w:t>
      </w:r>
      <w:r w:rsidR="001A71E4" w:rsidRPr="00CD411E">
        <w:rPr>
          <w:rFonts w:ascii="Times New Roman" w:hAnsi="Times New Roman" w:cs="Times New Roman"/>
        </w:rPr>
        <w:t xml:space="preserve"> older persons with disabilities, and </w:t>
      </w:r>
      <w:r w:rsidR="00E01F91" w:rsidRPr="00CD411E">
        <w:rPr>
          <w:rFonts w:ascii="Times New Roman" w:hAnsi="Times New Roman" w:cs="Times New Roman"/>
        </w:rPr>
        <w:t xml:space="preserve">can be further exacerbated </w:t>
      </w:r>
      <w:r w:rsidR="001A71E4" w:rsidRPr="00CD411E">
        <w:rPr>
          <w:rFonts w:ascii="Times New Roman" w:hAnsi="Times New Roman" w:cs="Times New Roman"/>
        </w:rPr>
        <w:t>by structural factors</w:t>
      </w:r>
      <w:r w:rsidR="00E01F91" w:rsidRPr="00CD411E">
        <w:rPr>
          <w:rFonts w:ascii="Times New Roman" w:hAnsi="Times New Roman" w:cs="Times New Roman"/>
        </w:rPr>
        <w:t>, including</w:t>
      </w:r>
      <w:r w:rsidRPr="00CD411E">
        <w:rPr>
          <w:rFonts w:ascii="Times New Roman" w:hAnsi="Times New Roman" w:cs="Times New Roman"/>
        </w:rPr>
        <w:t xml:space="preserve"> </w:t>
      </w:r>
      <w:r w:rsidR="0051304B" w:rsidRPr="00CD411E">
        <w:rPr>
          <w:rFonts w:ascii="Times New Roman" w:hAnsi="Times New Roman" w:cs="Times New Roman"/>
        </w:rPr>
        <w:t xml:space="preserve">energy </w:t>
      </w:r>
      <w:r w:rsidR="001A71E4" w:rsidRPr="00CD411E">
        <w:rPr>
          <w:rFonts w:ascii="Times New Roman" w:hAnsi="Times New Roman" w:cs="Times New Roman"/>
        </w:rPr>
        <w:t xml:space="preserve">inefficient housing, poor insulation, and limited access to clean and affordable energy services. Older women are disproportionately affected, </w:t>
      </w:r>
      <w:r w:rsidR="0051304B" w:rsidRPr="00CD411E">
        <w:rPr>
          <w:rFonts w:ascii="Times New Roman" w:hAnsi="Times New Roman" w:cs="Times New Roman"/>
        </w:rPr>
        <w:t xml:space="preserve">as they live longer than men and may live alone, but with </w:t>
      </w:r>
      <w:r w:rsidR="001A71E4" w:rsidRPr="00CD411E">
        <w:rPr>
          <w:rFonts w:ascii="Times New Roman" w:hAnsi="Times New Roman" w:cs="Times New Roman"/>
        </w:rPr>
        <w:t>g lower lifetime earnings, higher rates of poverty, and greater exposure to energy insecurity.</w:t>
      </w:r>
    </w:p>
    <w:p w14:paraId="28E83794" w14:textId="328A3582" w:rsidR="001A71E4" w:rsidRPr="00CD411E" w:rsidRDefault="00690887" w:rsidP="00690887">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 xml:space="preserve">20. </w:t>
      </w:r>
      <w:r w:rsidR="0026553B" w:rsidRPr="00CD411E">
        <w:rPr>
          <w:rFonts w:ascii="Times New Roman" w:hAnsi="Times New Roman" w:cs="Times New Roman"/>
        </w:rPr>
        <w:t>I</w:t>
      </w:r>
      <w:r w:rsidR="001A71E4" w:rsidRPr="00CD411E">
        <w:rPr>
          <w:rFonts w:ascii="Times New Roman" w:hAnsi="Times New Roman" w:cs="Times New Roman"/>
        </w:rPr>
        <w:t>nadequate heating or cooling increase</w:t>
      </w:r>
      <w:r w:rsidR="0051304B" w:rsidRPr="00CD411E">
        <w:rPr>
          <w:rFonts w:ascii="Times New Roman" w:hAnsi="Times New Roman" w:cs="Times New Roman"/>
        </w:rPr>
        <w:t xml:space="preserve"> vulnerability and</w:t>
      </w:r>
      <w:r w:rsidR="001A71E4" w:rsidRPr="00CD411E">
        <w:rPr>
          <w:rFonts w:ascii="Times New Roman" w:hAnsi="Times New Roman" w:cs="Times New Roman"/>
        </w:rPr>
        <w:t xml:space="preserve"> risk of cardiovascular and respiratory diseases and contribute to excess mortality during extreme weather events. In many contexts</w:t>
      </w:r>
      <w:r w:rsidR="0051304B" w:rsidRPr="00CD411E">
        <w:rPr>
          <w:rFonts w:ascii="Times New Roman" w:hAnsi="Times New Roman" w:cs="Times New Roman"/>
        </w:rPr>
        <w:t xml:space="preserve"> in the global south </w:t>
      </w:r>
      <w:r w:rsidR="001A71E4" w:rsidRPr="00CD411E">
        <w:rPr>
          <w:rFonts w:ascii="Times New Roman" w:hAnsi="Times New Roman" w:cs="Times New Roman"/>
        </w:rPr>
        <w:t>reliance on polluting cooking fuels exposes older persons—particularly older women—to indoor air pollution, increasing the risk of chronic illness. Energy deprivation is also associated with increased physical dependency, cognitive stress, and social isolation.</w:t>
      </w:r>
    </w:p>
    <w:p w14:paraId="4B84C6B1" w14:textId="77777777" w:rsidR="00BC56ED" w:rsidRPr="00CD411E" w:rsidRDefault="00690887" w:rsidP="00BC56ED">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21. Tar</w:t>
      </w:r>
      <w:r w:rsidR="001A71E4" w:rsidRPr="00CD411E">
        <w:rPr>
          <w:rFonts w:ascii="Times New Roman" w:hAnsi="Times New Roman" w:cs="Times New Roman"/>
        </w:rPr>
        <w:t xml:space="preserve">get 7.1 on access </w:t>
      </w:r>
      <w:r w:rsidR="0026553B" w:rsidRPr="00CD411E">
        <w:rPr>
          <w:rFonts w:ascii="Times New Roman" w:hAnsi="Times New Roman" w:cs="Times New Roman"/>
        </w:rPr>
        <w:t xml:space="preserve">to energy </w:t>
      </w:r>
      <w:r w:rsidR="001A71E4" w:rsidRPr="00CD411E">
        <w:rPr>
          <w:rFonts w:ascii="Times New Roman" w:hAnsi="Times New Roman" w:cs="Times New Roman"/>
        </w:rPr>
        <w:t>must address not only availability but also affordability and usability for older populations. Access to electricity or clean fuels is insufficient if older persons cannot afford to use them safely and consistently.</w:t>
      </w:r>
    </w:p>
    <w:p w14:paraId="2FFB0326" w14:textId="50FCDF33" w:rsidR="001A71E4" w:rsidRPr="00CD411E" w:rsidRDefault="00BC56ED" w:rsidP="00BC56ED">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 xml:space="preserve">22. </w:t>
      </w:r>
      <w:r w:rsidR="001A71E4" w:rsidRPr="00CD411E">
        <w:rPr>
          <w:rFonts w:ascii="Times New Roman" w:hAnsi="Times New Roman" w:cs="Times New Roman"/>
        </w:rPr>
        <w:t xml:space="preserve"> transition toward renewable energy under Target 7.2 presents both opportunities and risks. Renewable technologies, including decentralized and off-grid systems such as solar energy, can expand access in rural and underserved areas where many older persons live. However, poorly designed transitions may exclude older persons</w:t>
      </w:r>
      <w:r w:rsidR="0026553B" w:rsidRPr="00CD411E">
        <w:rPr>
          <w:rFonts w:ascii="Times New Roman" w:hAnsi="Times New Roman" w:cs="Times New Roman"/>
        </w:rPr>
        <w:t xml:space="preserve"> through complex administrative procedures, digitalized energy systems, or high upfront investment costs</w:t>
      </w:r>
      <w:r w:rsidR="008F3B4F" w:rsidRPr="00CD411E">
        <w:rPr>
          <w:rFonts w:ascii="Times New Roman" w:hAnsi="Times New Roman" w:cs="Times New Roman"/>
        </w:rPr>
        <w:t xml:space="preserve">.  </w:t>
      </w:r>
      <w:r w:rsidR="0051304B" w:rsidRPr="00CD411E">
        <w:rPr>
          <w:rFonts w:ascii="Times New Roman" w:hAnsi="Times New Roman" w:cs="Times New Roman"/>
        </w:rPr>
        <w:t>Emerging research has also highlighted the risk of ‘energy ageism’, where energy and climate policies fail to account for age-related needs, capacities, and participation. Without deliberate inclusion, older persons may be excluded from the benefits of clean energy transitions.</w:t>
      </w:r>
      <w:r w:rsidRPr="00CD411E">
        <w:rPr>
          <w:rFonts w:ascii="Times New Roman" w:hAnsi="Times New Roman" w:cs="Times New Roman"/>
        </w:rPr>
        <w:t xml:space="preserve">23. </w:t>
      </w:r>
      <w:r w:rsidR="001A71E4" w:rsidRPr="00CD411E">
        <w:rPr>
          <w:rFonts w:ascii="Times New Roman" w:hAnsi="Times New Roman" w:cs="Times New Roman"/>
        </w:rPr>
        <w:t xml:space="preserve">Target 7.3 on energy efficiency highlights the importance of improving housing conditions. Investments in insulation, retrofitting, and energy-efficient appliances can reduce energy </w:t>
      </w:r>
      <w:r w:rsidR="001A71E4" w:rsidRPr="00CD411E">
        <w:rPr>
          <w:rFonts w:ascii="Times New Roman" w:hAnsi="Times New Roman" w:cs="Times New Roman"/>
        </w:rPr>
        <w:lastRenderedPageBreak/>
        <w:t>costs while improving thermal comfort and safety for older households, contributing both to social protection and climate mitigation objectives.</w:t>
      </w:r>
    </w:p>
    <w:p w14:paraId="60432538" w14:textId="3B9E0FA2" w:rsidR="001A71E4" w:rsidRPr="00CD411E" w:rsidRDefault="000223D6" w:rsidP="000223D6">
      <w:pPr>
        <w:spacing w:before="120" w:after="120" w:line="240" w:lineRule="auto"/>
        <w:rPr>
          <w:rFonts w:ascii="Times New Roman" w:hAnsi="Times New Roman" w:cs="Times New Roman"/>
        </w:rPr>
      </w:pPr>
      <w:r w:rsidRPr="00CD411E">
        <w:rPr>
          <w:rFonts w:ascii="Times New Roman" w:hAnsi="Times New Roman" w:cs="Times New Roman"/>
        </w:rPr>
        <w:t>23. I</w:t>
      </w:r>
      <w:r w:rsidR="002D4FD8" w:rsidRPr="00CD411E">
        <w:rPr>
          <w:rFonts w:ascii="Times New Roman" w:hAnsi="Times New Roman" w:cs="Times New Roman"/>
        </w:rPr>
        <w:t>t is recommended therefore that e</w:t>
      </w:r>
      <w:r w:rsidR="001A71E4" w:rsidRPr="00CD411E">
        <w:rPr>
          <w:rFonts w:ascii="Times New Roman" w:hAnsi="Times New Roman" w:cs="Times New Roman"/>
        </w:rPr>
        <w:t xml:space="preserve">nergy policy be integrated with broader social protection, housing, and health frameworks. </w:t>
      </w:r>
      <w:r w:rsidR="002D4FD8" w:rsidRPr="00CD411E">
        <w:rPr>
          <w:rFonts w:ascii="Times New Roman" w:hAnsi="Times New Roman" w:cs="Times New Roman"/>
        </w:rPr>
        <w:t>Universal social protection through the SP</w:t>
      </w:r>
      <w:r w:rsidR="00690887" w:rsidRPr="00CD411E">
        <w:rPr>
          <w:rFonts w:ascii="Times New Roman" w:hAnsi="Times New Roman" w:cs="Times New Roman"/>
        </w:rPr>
        <w:t xml:space="preserve"> </w:t>
      </w:r>
      <w:r w:rsidR="002D4FD8" w:rsidRPr="00CD411E">
        <w:rPr>
          <w:rFonts w:ascii="Times New Roman" w:hAnsi="Times New Roman" w:cs="Times New Roman"/>
        </w:rPr>
        <w:t xml:space="preserve">Floor, </w:t>
      </w:r>
      <w:r w:rsidR="008F3B4F" w:rsidRPr="00CD411E">
        <w:rPr>
          <w:rFonts w:ascii="Times New Roman" w:hAnsi="Times New Roman" w:cs="Times New Roman"/>
        </w:rPr>
        <w:t>targeted</w:t>
      </w:r>
      <w:r w:rsidR="001A71E4" w:rsidRPr="00CD411E">
        <w:rPr>
          <w:rFonts w:ascii="Times New Roman" w:hAnsi="Times New Roman" w:cs="Times New Roman"/>
        </w:rPr>
        <w:t xml:space="preserve"> subsidies, social tariffs, and consumer protection mechanisms </w:t>
      </w:r>
      <w:r w:rsidR="002D4FD8" w:rsidRPr="00CD411E">
        <w:rPr>
          <w:rFonts w:ascii="Times New Roman" w:hAnsi="Times New Roman" w:cs="Times New Roman"/>
        </w:rPr>
        <w:t>are</w:t>
      </w:r>
      <w:r w:rsidR="001A71E4" w:rsidRPr="00CD411E">
        <w:rPr>
          <w:rFonts w:ascii="Times New Roman" w:hAnsi="Times New Roman" w:cs="Times New Roman"/>
        </w:rPr>
        <w:t xml:space="preserve"> essential tools </w:t>
      </w:r>
      <w:r w:rsidR="002D4FD8" w:rsidRPr="00CD411E">
        <w:rPr>
          <w:rFonts w:ascii="Times New Roman" w:hAnsi="Times New Roman" w:cs="Times New Roman"/>
        </w:rPr>
        <w:t xml:space="preserve">to </w:t>
      </w:r>
      <w:r w:rsidR="001A71E4" w:rsidRPr="00CD411E">
        <w:rPr>
          <w:rFonts w:ascii="Times New Roman" w:hAnsi="Times New Roman" w:cs="Times New Roman"/>
        </w:rPr>
        <w:t>ensur</w:t>
      </w:r>
      <w:r w:rsidR="002D4FD8" w:rsidRPr="00CD411E">
        <w:rPr>
          <w:rFonts w:ascii="Times New Roman" w:hAnsi="Times New Roman" w:cs="Times New Roman"/>
        </w:rPr>
        <w:t>e</w:t>
      </w:r>
      <w:r w:rsidR="001A71E4" w:rsidRPr="00CD411E">
        <w:rPr>
          <w:rFonts w:ascii="Times New Roman" w:hAnsi="Times New Roman" w:cs="Times New Roman"/>
        </w:rPr>
        <w:t xml:space="preserve"> affordability and </w:t>
      </w:r>
      <w:r w:rsidR="002D4FD8" w:rsidRPr="00CD411E">
        <w:rPr>
          <w:rFonts w:ascii="Times New Roman" w:hAnsi="Times New Roman" w:cs="Times New Roman"/>
        </w:rPr>
        <w:t>protection for</w:t>
      </w:r>
      <w:r w:rsidR="001A71E4" w:rsidRPr="00CD411E">
        <w:rPr>
          <w:rFonts w:ascii="Times New Roman" w:hAnsi="Times New Roman" w:cs="Times New Roman"/>
        </w:rPr>
        <w:t xml:space="preserve"> households</w:t>
      </w:r>
      <w:r w:rsidR="002D4FD8" w:rsidRPr="00CD411E">
        <w:rPr>
          <w:rFonts w:ascii="Times New Roman" w:hAnsi="Times New Roman" w:cs="Times New Roman"/>
        </w:rPr>
        <w:t xml:space="preserve"> at risk</w:t>
      </w:r>
      <w:r w:rsidR="001A71E4" w:rsidRPr="00CD411E">
        <w:rPr>
          <w:rFonts w:ascii="Times New Roman" w:hAnsi="Times New Roman" w:cs="Times New Roman"/>
        </w:rPr>
        <w:t xml:space="preserve">. </w:t>
      </w:r>
      <w:r w:rsidR="002D4FD8" w:rsidRPr="00CD411E">
        <w:rPr>
          <w:rFonts w:ascii="Times New Roman" w:hAnsi="Times New Roman" w:cs="Times New Roman"/>
        </w:rPr>
        <w:t xml:space="preserve">Gender, </w:t>
      </w:r>
      <w:r w:rsidR="008F3B4F" w:rsidRPr="00CD411E">
        <w:rPr>
          <w:rFonts w:ascii="Times New Roman" w:hAnsi="Times New Roman" w:cs="Times New Roman"/>
        </w:rPr>
        <w:t>a</w:t>
      </w:r>
      <w:r w:rsidR="001A71E4" w:rsidRPr="00CD411E">
        <w:rPr>
          <w:rFonts w:ascii="Times New Roman" w:hAnsi="Times New Roman" w:cs="Times New Roman"/>
        </w:rPr>
        <w:t>ge</w:t>
      </w:r>
      <w:r w:rsidR="002D4FD8" w:rsidRPr="00CD411E">
        <w:rPr>
          <w:rFonts w:ascii="Times New Roman" w:hAnsi="Times New Roman" w:cs="Times New Roman"/>
        </w:rPr>
        <w:t xml:space="preserve"> and disability </w:t>
      </w:r>
      <w:r w:rsidR="001A71E4" w:rsidRPr="00CD411E">
        <w:rPr>
          <w:rFonts w:ascii="Times New Roman" w:hAnsi="Times New Roman" w:cs="Times New Roman"/>
        </w:rPr>
        <w:t xml:space="preserve">-responsive energy strategies </w:t>
      </w:r>
      <w:r w:rsidR="002D4FD8" w:rsidRPr="00CD411E">
        <w:rPr>
          <w:rFonts w:ascii="Times New Roman" w:hAnsi="Times New Roman" w:cs="Times New Roman"/>
        </w:rPr>
        <w:t xml:space="preserve">can and </w:t>
      </w:r>
      <w:r w:rsidR="001A71E4" w:rsidRPr="00CD411E">
        <w:rPr>
          <w:rFonts w:ascii="Times New Roman" w:hAnsi="Times New Roman" w:cs="Times New Roman"/>
        </w:rPr>
        <w:t xml:space="preserve">should promote accessible technologies, community engagement, and training to ensure that older persons can fully benefit from energy transitions. </w:t>
      </w:r>
    </w:p>
    <w:p w14:paraId="12D03499" w14:textId="1B0E4017" w:rsidR="001A71E4" w:rsidRPr="00CD411E" w:rsidRDefault="001A71E4" w:rsidP="00313D7B">
      <w:pPr>
        <w:spacing w:before="120" w:after="120" w:line="240" w:lineRule="auto"/>
        <w:rPr>
          <w:rFonts w:ascii="Times New Roman" w:hAnsi="Times New Roman" w:cs="Times New Roman"/>
          <w:b/>
          <w:bCs/>
        </w:rPr>
      </w:pPr>
      <w:r w:rsidRPr="00CD411E">
        <w:rPr>
          <w:rFonts w:ascii="Times New Roman" w:hAnsi="Times New Roman" w:cs="Times New Roman"/>
          <w:b/>
          <w:bCs/>
        </w:rPr>
        <w:t>Recommendations</w:t>
      </w:r>
    </w:p>
    <w:p w14:paraId="587E8F3F" w14:textId="77777777" w:rsidR="001A71E4" w:rsidRPr="00CD411E" w:rsidRDefault="001A71E4" w:rsidP="00D64983">
      <w:pPr>
        <w:pStyle w:val="ListParagraph"/>
        <w:numPr>
          <w:ilvl w:val="0"/>
          <w:numId w:val="6"/>
        </w:numPr>
        <w:ind w:left="426" w:hanging="284"/>
        <w:rPr>
          <w:rFonts w:ascii="Times New Roman" w:hAnsi="Times New Roman" w:cs="Times New Roman"/>
        </w:rPr>
      </w:pPr>
      <w:r w:rsidRPr="00CD411E">
        <w:rPr>
          <w:rFonts w:ascii="Times New Roman" w:hAnsi="Times New Roman" w:cs="Times New Roman"/>
        </w:rPr>
        <w:t>Recognise older persons as a priority group in national energy poverty alleviation programmes.</w:t>
      </w:r>
    </w:p>
    <w:p w14:paraId="0A4A5089" w14:textId="1867CCC3" w:rsidR="001A71E4" w:rsidRPr="00CD411E" w:rsidRDefault="001A71E4" w:rsidP="00D64983">
      <w:pPr>
        <w:pStyle w:val="ListParagraph"/>
        <w:numPr>
          <w:ilvl w:val="0"/>
          <w:numId w:val="6"/>
        </w:numPr>
        <w:ind w:left="426" w:hanging="284"/>
        <w:rPr>
          <w:rFonts w:ascii="Times New Roman" w:hAnsi="Times New Roman" w:cs="Times New Roman"/>
        </w:rPr>
      </w:pPr>
      <w:r w:rsidRPr="00CD411E">
        <w:rPr>
          <w:rFonts w:ascii="Times New Roman" w:hAnsi="Times New Roman" w:cs="Times New Roman"/>
        </w:rPr>
        <w:t xml:space="preserve">Promote </w:t>
      </w:r>
      <w:r w:rsidR="002D4FD8" w:rsidRPr="00CD411E">
        <w:rPr>
          <w:rFonts w:ascii="Times New Roman" w:hAnsi="Times New Roman" w:cs="Times New Roman"/>
        </w:rPr>
        <w:t>gender,</w:t>
      </w:r>
      <w:r w:rsidR="008F3B4F" w:rsidRPr="00CD411E">
        <w:rPr>
          <w:rFonts w:ascii="Times New Roman" w:hAnsi="Times New Roman" w:cs="Times New Roman"/>
        </w:rPr>
        <w:t xml:space="preserve"> </w:t>
      </w:r>
      <w:r w:rsidRPr="00CD411E">
        <w:rPr>
          <w:rFonts w:ascii="Times New Roman" w:hAnsi="Times New Roman" w:cs="Times New Roman"/>
        </w:rPr>
        <w:t>age</w:t>
      </w:r>
      <w:r w:rsidR="002D4FD8" w:rsidRPr="00CD411E">
        <w:rPr>
          <w:rFonts w:ascii="Times New Roman" w:hAnsi="Times New Roman" w:cs="Times New Roman"/>
        </w:rPr>
        <w:t xml:space="preserve"> and disability </w:t>
      </w:r>
      <w:r w:rsidRPr="00CD411E">
        <w:rPr>
          <w:rFonts w:ascii="Times New Roman" w:hAnsi="Times New Roman" w:cs="Times New Roman"/>
        </w:rPr>
        <w:t>-friendly energy efficiency measures, including housing retrofits, insulation, and efficient appliances.</w:t>
      </w:r>
    </w:p>
    <w:p w14:paraId="600059C8" w14:textId="77777777" w:rsidR="001A71E4" w:rsidRPr="00CD411E" w:rsidRDefault="001A71E4" w:rsidP="00D64983">
      <w:pPr>
        <w:pStyle w:val="ListParagraph"/>
        <w:numPr>
          <w:ilvl w:val="0"/>
          <w:numId w:val="6"/>
        </w:numPr>
        <w:ind w:left="426" w:hanging="284"/>
        <w:rPr>
          <w:rFonts w:ascii="Times New Roman" w:hAnsi="Times New Roman" w:cs="Times New Roman"/>
        </w:rPr>
      </w:pPr>
      <w:r w:rsidRPr="00CD411E">
        <w:rPr>
          <w:rFonts w:ascii="Times New Roman" w:hAnsi="Times New Roman" w:cs="Times New Roman"/>
        </w:rPr>
        <w:t>Ensure renewable energy transitions are inclusive, accessible, and affordable for older persons.</w:t>
      </w:r>
    </w:p>
    <w:p w14:paraId="08812879" w14:textId="77777777" w:rsidR="001A71E4" w:rsidRPr="00CD411E" w:rsidRDefault="001A71E4" w:rsidP="00D64983">
      <w:pPr>
        <w:pStyle w:val="ListParagraph"/>
        <w:numPr>
          <w:ilvl w:val="0"/>
          <w:numId w:val="6"/>
        </w:numPr>
        <w:ind w:left="426" w:hanging="284"/>
        <w:rPr>
          <w:rFonts w:ascii="Times New Roman" w:hAnsi="Times New Roman" w:cs="Times New Roman"/>
        </w:rPr>
      </w:pPr>
      <w:r w:rsidRPr="00CD411E">
        <w:rPr>
          <w:rFonts w:ascii="Times New Roman" w:hAnsi="Times New Roman" w:cs="Times New Roman"/>
        </w:rPr>
        <w:t>Strengthen research and data collection on the intersection between ageing and energy systems.</w:t>
      </w:r>
    </w:p>
    <w:p w14:paraId="5DFA6320" w14:textId="77777777" w:rsidR="001A71E4" w:rsidRPr="00CD411E" w:rsidRDefault="001A71E4" w:rsidP="00D64983">
      <w:pPr>
        <w:pStyle w:val="ListParagraph"/>
        <w:numPr>
          <w:ilvl w:val="0"/>
          <w:numId w:val="6"/>
        </w:numPr>
        <w:ind w:left="426" w:hanging="284"/>
        <w:rPr>
          <w:rFonts w:ascii="Times New Roman" w:hAnsi="Times New Roman" w:cs="Times New Roman"/>
        </w:rPr>
      </w:pPr>
      <w:r w:rsidRPr="00CD411E">
        <w:rPr>
          <w:rFonts w:ascii="Times New Roman" w:hAnsi="Times New Roman" w:cs="Times New Roman"/>
        </w:rPr>
        <w:t>Promote international cooperation under Targets 7.a and 7.b to support ageing-responsive energy strategies, including decentralized solutions in rural areas.</w:t>
      </w:r>
    </w:p>
    <w:p w14:paraId="62CC2986" w14:textId="77777777" w:rsidR="001A71E4" w:rsidRPr="00CD411E" w:rsidRDefault="001A71E4" w:rsidP="00D64983">
      <w:pPr>
        <w:pStyle w:val="ListParagraph"/>
        <w:spacing w:before="120" w:after="120" w:line="240" w:lineRule="auto"/>
        <w:ind w:left="0"/>
        <w:contextualSpacing w:val="0"/>
        <w:rPr>
          <w:rFonts w:ascii="Times New Roman" w:hAnsi="Times New Roman" w:cs="Times New Roman"/>
        </w:rPr>
      </w:pPr>
    </w:p>
    <w:p w14:paraId="012C6A68" w14:textId="72F598EA" w:rsidR="001A71E4" w:rsidRPr="00CD411E" w:rsidRDefault="006F79E5" w:rsidP="00D64983">
      <w:pPr>
        <w:pStyle w:val="ListParagraph"/>
        <w:spacing w:before="120" w:after="120" w:line="240" w:lineRule="auto"/>
        <w:ind w:left="0"/>
        <w:contextualSpacing w:val="0"/>
        <w:rPr>
          <w:rFonts w:ascii="Times New Roman" w:hAnsi="Times New Roman" w:cs="Times New Roman"/>
        </w:rPr>
      </w:pPr>
      <w:r>
        <w:pict w14:anchorId="5FF23A2B">
          <v:rect id="Horizontal Line 6" o:spid="_x0000_s1034"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5CD7FA9" w14:textId="77777777" w:rsidR="001A71E4" w:rsidRPr="00CD411E" w:rsidRDefault="001A71E4" w:rsidP="00D64983">
      <w:pPr>
        <w:pStyle w:val="ListParagraph"/>
        <w:spacing w:before="120" w:after="120" w:line="240" w:lineRule="auto"/>
        <w:ind w:left="0"/>
        <w:contextualSpacing w:val="0"/>
        <w:rPr>
          <w:rFonts w:ascii="Times New Roman" w:hAnsi="Times New Roman" w:cs="Times New Roman"/>
        </w:rPr>
      </w:pPr>
    </w:p>
    <w:p w14:paraId="1051D6F0" w14:textId="5C2EC418" w:rsidR="001A71E4" w:rsidRPr="00CD411E" w:rsidRDefault="001A71E4" w:rsidP="00D64983">
      <w:pPr>
        <w:spacing w:before="120" w:after="120" w:line="240" w:lineRule="auto"/>
        <w:rPr>
          <w:rFonts w:ascii="Times New Roman" w:hAnsi="Times New Roman" w:cs="Times New Roman"/>
          <w:b/>
          <w:bCs/>
          <w:i/>
          <w:iCs/>
        </w:rPr>
      </w:pPr>
      <w:r w:rsidRPr="00CD411E">
        <w:rPr>
          <w:rFonts w:ascii="Times New Roman" w:hAnsi="Times New Roman" w:cs="Times New Roman"/>
          <w:b/>
          <w:bCs/>
        </w:rPr>
        <w:t xml:space="preserve">SDG 11 — Sustainable Cities and Communities. Ageing and Inclusive Urban Development </w:t>
      </w:r>
    </w:p>
    <w:p w14:paraId="19FBBC11" w14:textId="77777777" w:rsidR="001A71E4" w:rsidRPr="00CD411E" w:rsidRDefault="001A71E4" w:rsidP="00D64983">
      <w:pPr>
        <w:spacing w:before="120" w:after="120" w:line="240" w:lineRule="auto"/>
        <w:rPr>
          <w:rFonts w:ascii="Times New Roman" w:hAnsi="Times New Roman" w:cs="Times New Roman"/>
        </w:rPr>
      </w:pPr>
    </w:p>
    <w:p w14:paraId="280467D7" w14:textId="77777777" w:rsidR="000223D6" w:rsidRPr="00CD411E" w:rsidRDefault="001A71E4" w:rsidP="00BC56ED">
      <w:pPr>
        <w:spacing w:before="120" w:after="120" w:line="240" w:lineRule="auto"/>
        <w:rPr>
          <w:rFonts w:ascii="Times New Roman" w:hAnsi="Times New Roman" w:cs="Times New Roman"/>
          <w:b/>
          <w:bCs/>
          <w:i/>
          <w:iCs/>
        </w:rPr>
      </w:pPr>
      <w:r w:rsidRPr="00CD411E">
        <w:rPr>
          <w:rFonts w:ascii="Times New Roman" w:hAnsi="Times New Roman" w:cs="Times New Roman"/>
          <w:b/>
          <w:bCs/>
          <w:i/>
          <w:iCs/>
        </w:rPr>
        <w:t>Cities that respond to demographic ageing strengthen inclusion, resilience, and quality of life for people of all ages.</w:t>
      </w:r>
    </w:p>
    <w:p w14:paraId="41F313B9" w14:textId="77777777" w:rsidR="000223D6" w:rsidRPr="00CD411E" w:rsidRDefault="00BC56ED" w:rsidP="00BC56ED">
      <w:pPr>
        <w:spacing w:before="120" w:after="120" w:line="240" w:lineRule="auto"/>
        <w:rPr>
          <w:rFonts w:ascii="Times New Roman" w:hAnsi="Times New Roman" w:cs="Times New Roman"/>
        </w:rPr>
      </w:pPr>
      <w:r w:rsidRPr="00CD411E">
        <w:rPr>
          <w:rFonts w:ascii="Times New Roman" w:hAnsi="Times New Roman" w:cs="Times New Roman"/>
        </w:rPr>
        <w:t>2</w:t>
      </w:r>
      <w:r w:rsidR="000223D6" w:rsidRPr="00CD411E">
        <w:rPr>
          <w:rFonts w:ascii="Times New Roman" w:hAnsi="Times New Roman" w:cs="Times New Roman"/>
        </w:rPr>
        <w:t>4</w:t>
      </w:r>
      <w:r w:rsidRPr="00CD411E">
        <w:rPr>
          <w:rFonts w:ascii="Times New Roman" w:hAnsi="Times New Roman" w:cs="Times New Roman"/>
        </w:rPr>
        <w:t xml:space="preserve">. </w:t>
      </w:r>
      <w:r w:rsidR="001A71E4" w:rsidRPr="00CD411E">
        <w:rPr>
          <w:rFonts w:ascii="Times New Roman" w:hAnsi="Times New Roman" w:cs="Times New Roman"/>
        </w:rPr>
        <w:t>Urban environments play a decisive role in shaping autonomy, health, and social participation across the life course. For older persons, the design of neighbourhoods, accessibility of transport systems, availability of public spaces, and proximity of services determine whether they remain active members of their communities or face increasing isolation and vulnerability</w:t>
      </w:r>
      <w:r w:rsidR="000223D6" w:rsidRPr="00CD411E">
        <w:rPr>
          <w:rFonts w:ascii="Times New Roman" w:hAnsi="Times New Roman" w:cs="Times New Roman"/>
        </w:rPr>
        <w:t>.</w:t>
      </w:r>
    </w:p>
    <w:p w14:paraId="2FA1037F" w14:textId="4F0FDEC0" w:rsidR="000223D6" w:rsidRPr="00CD411E" w:rsidRDefault="00BC56ED" w:rsidP="00BC56ED">
      <w:pPr>
        <w:spacing w:before="120" w:after="120" w:line="240" w:lineRule="auto"/>
        <w:rPr>
          <w:rFonts w:ascii="Times New Roman" w:hAnsi="Times New Roman" w:cs="Times New Roman"/>
        </w:rPr>
      </w:pPr>
      <w:r w:rsidRPr="00CD411E">
        <w:rPr>
          <w:rFonts w:ascii="Times New Roman" w:hAnsi="Times New Roman" w:cs="Times New Roman"/>
        </w:rPr>
        <w:t>2</w:t>
      </w:r>
      <w:r w:rsidR="000223D6" w:rsidRPr="00CD411E">
        <w:rPr>
          <w:rFonts w:ascii="Times New Roman" w:hAnsi="Times New Roman" w:cs="Times New Roman"/>
        </w:rPr>
        <w:t>5</w:t>
      </w:r>
      <w:r w:rsidRPr="00CD411E">
        <w:rPr>
          <w:rFonts w:ascii="Times New Roman" w:hAnsi="Times New Roman" w:cs="Times New Roman"/>
        </w:rPr>
        <w:t xml:space="preserve">. </w:t>
      </w:r>
      <w:r w:rsidR="001A71E4" w:rsidRPr="00CD411E">
        <w:rPr>
          <w:rFonts w:ascii="Times New Roman" w:hAnsi="Times New Roman" w:cs="Times New Roman"/>
        </w:rPr>
        <w:t>Gender dimensions are also significant in urban ageing. Older women are more likely to live alone, experience lower incomes, and face greater risks of poverty and social exclusion. They may also encounter safety concerns in public spaces and barriers to mobility, which can further limit participation in community life. Addressing these gender-specific challenges is essential for ensuring inclusive and age-friendly urban environments</w:t>
      </w:r>
      <w:r w:rsidR="000223D6" w:rsidRPr="00CD411E">
        <w:rPr>
          <w:rFonts w:ascii="Times New Roman" w:hAnsi="Times New Roman" w:cs="Times New Roman"/>
        </w:rPr>
        <w:t>.</w:t>
      </w:r>
    </w:p>
    <w:p w14:paraId="7F15FBF7" w14:textId="1470D56F" w:rsidR="00BC56ED" w:rsidRPr="00CD411E" w:rsidRDefault="00BC56ED" w:rsidP="00BC56ED">
      <w:pPr>
        <w:spacing w:before="120" w:after="120" w:line="240" w:lineRule="auto"/>
        <w:rPr>
          <w:rFonts w:ascii="Times New Roman" w:hAnsi="Times New Roman" w:cs="Times New Roman"/>
        </w:rPr>
      </w:pPr>
      <w:r w:rsidRPr="00CD411E">
        <w:rPr>
          <w:rFonts w:ascii="Times New Roman" w:hAnsi="Times New Roman" w:cs="Times New Roman"/>
        </w:rPr>
        <w:t>2</w:t>
      </w:r>
      <w:r w:rsidR="000223D6" w:rsidRPr="00CD411E">
        <w:rPr>
          <w:rFonts w:ascii="Times New Roman" w:hAnsi="Times New Roman" w:cs="Times New Roman"/>
        </w:rPr>
        <w:t>6</w:t>
      </w:r>
      <w:r w:rsidRPr="00CD411E">
        <w:rPr>
          <w:rFonts w:ascii="Times New Roman" w:hAnsi="Times New Roman" w:cs="Times New Roman"/>
        </w:rPr>
        <w:t xml:space="preserve">. </w:t>
      </w:r>
      <w:r w:rsidR="001A71E4" w:rsidRPr="00CD411E">
        <w:rPr>
          <w:rFonts w:ascii="Times New Roman" w:hAnsi="Times New Roman" w:cs="Times New Roman"/>
        </w:rPr>
        <w:t>Despite these realities, urban planning frameworks and infrastructure investments often overlook the needs of ageing populations. As a result, many cities remain insufficiently adapted to demographic change, limiting opportunities for inclusion and participation in later life.</w:t>
      </w:r>
    </w:p>
    <w:p w14:paraId="7486A3AD" w14:textId="1AD4FC86" w:rsidR="001A71E4" w:rsidRPr="00CD411E" w:rsidRDefault="00BC56ED" w:rsidP="00BC56ED">
      <w:pPr>
        <w:spacing w:before="120" w:after="120" w:line="240" w:lineRule="auto"/>
        <w:rPr>
          <w:rFonts w:ascii="Times New Roman" w:hAnsi="Times New Roman" w:cs="Times New Roman"/>
        </w:rPr>
      </w:pPr>
      <w:r w:rsidRPr="00CD411E">
        <w:rPr>
          <w:rFonts w:ascii="Times New Roman" w:hAnsi="Times New Roman" w:cs="Times New Roman"/>
        </w:rPr>
        <w:lastRenderedPageBreak/>
        <w:t>2</w:t>
      </w:r>
      <w:r w:rsidR="000223D6" w:rsidRPr="00CD411E">
        <w:rPr>
          <w:rFonts w:ascii="Times New Roman" w:hAnsi="Times New Roman" w:cs="Times New Roman"/>
        </w:rPr>
        <w:t>7</w:t>
      </w:r>
      <w:r w:rsidRPr="00CD411E">
        <w:rPr>
          <w:rFonts w:ascii="Times New Roman" w:hAnsi="Times New Roman" w:cs="Times New Roman"/>
        </w:rPr>
        <w:t>. T</w:t>
      </w:r>
      <w:r w:rsidR="001A71E4" w:rsidRPr="00CD411E">
        <w:rPr>
          <w:rFonts w:ascii="Times New Roman" w:hAnsi="Times New Roman" w:cs="Times New Roman"/>
        </w:rPr>
        <w:t xml:space="preserve">arget 11.1 on access to adequate, safe, and affordable housing is particularly relevant in ageing societies. Housing conditions strongly influence health, safety, and independence. Many older persons, particularly those with </w:t>
      </w:r>
      <w:bookmarkStart w:id="0" w:name="_GoBack"/>
      <w:bookmarkEnd w:id="0"/>
      <w:r w:rsidR="001A71E4" w:rsidRPr="00CD411E">
        <w:rPr>
          <w:rFonts w:ascii="Times New Roman" w:hAnsi="Times New Roman" w:cs="Times New Roman"/>
        </w:rPr>
        <w:t xml:space="preserve">disabilities, live in housing that was not designed to accommodate reduced mobility or sensory limitations. </w:t>
      </w:r>
      <w:r w:rsidR="00E364BA" w:rsidRPr="00CD411E">
        <w:rPr>
          <w:rFonts w:ascii="Times New Roman" w:hAnsi="Times New Roman" w:cs="Times New Roman"/>
        </w:rPr>
        <w:t>Inaccessible buildings, steep stairs, and poorly adapted facilities increase the risk of injury, while poor insulation exposes residents to extreme temperatures</w:t>
      </w:r>
      <w:r w:rsidR="00E364BA">
        <w:rPr>
          <w:rFonts w:ascii="Times New Roman" w:hAnsi="Times New Roman" w:cs="Times New Roman"/>
        </w:rPr>
        <w:t xml:space="preserve">. </w:t>
      </w:r>
      <w:r w:rsidR="00E364BA" w:rsidRPr="00CD411E">
        <w:rPr>
          <w:rFonts w:ascii="Times New Roman" w:hAnsi="Times New Roman" w:cs="Times New Roman"/>
        </w:rPr>
        <w:t>Age-inclusive housing policies—including universal design standards, retrofit programmes, and proximity to essential services—can significantly improve safety and quality of life while supporting independent living.</w:t>
      </w:r>
    </w:p>
    <w:p w14:paraId="415C6DD0" w14:textId="22FA4858" w:rsidR="001A71E4" w:rsidRPr="00CD411E" w:rsidRDefault="00BC56ED" w:rsidP="00BC56ED">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2</w:t>
      </w:r>
      <w:r w:rsidR="000223D6" w:rsidRPr="00CD411E">
        <w:rPr>
          <w:rFonts w:ascii="Times New Roman" w:hAnsi="Times New Roman" w:cs="Times New Roman"/>
        </w:rPr>
        <w:t>8</w:t>
      </w:r>
      <w:r w:rsidRPr="00CD411E">
        <w:rPr>
          <w:rFonts w:ascii="Times New Roman" w:hAnsi="Times New Roman" w:cs="Times New Roman"/>
        </w:rPr>
        <w:t>. T</w:t>
      </w:r>
      <w:r w:rsidR="001A71E4" w:rsidRPr="00CD411E">
        <w:rPr>
          <w:rFonts w:ascii="Times New Roman" w:hAnsi="Times New Roman" w:cs="Times New Roman"/>
        </w:rPr>
        <w:t>arget 11.2 highlights the importance of safe, affordable, accessible, and sustainable transport systems. Mobility is essential for participation in social, economic, and community life. However, inaccessible public transport, particularly for older persons with disabilities, unsafe pedestrian infrastructure, and poorly maintained sidewalks remain widespread barriers.</w:t>
      </w:r>
      <w:r w:rsidRPr="00CD411E">
        <w:rPr>
          <w:rFonts w:ascii="Times New Roman" w:hAnsi="Times New Roman" w:cs="Times New Roman"/>
        </w:rPr>
        <w:t xml:space="preserve"> </w:t>
      </w:r>
      <w:r w:rsidR="001A71E4" w:rsidRPr="00CD411E">
        <w:rPr>
          <w:rFonts w:ascii="Times New Roman" w:hAnsi="Times New Roman" w:cs="Times New Roman"/>
        </w:rPr>
        <w:t>Age-friendly transport systems—including low-floor vehicles, accessible stations, safe crossings, and affordable fares—can significantly enhance mobility for older persons while benefiting the wider population.</w:t>
      </w:r>
    </w:p>
    <w:p w14:paraId="11ED88D3" w14:textId="2D475BDF" w:rsidR="001A71E4" w:rsidRPr="00CD411E" w:rsidRDefault="000223D6" w:rsidP="00BC56ED">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29</w:t>
      </w:r>
      <w:r w:rsidR="00BC56ED" w:rsidRPr="00CD411E">
        <w:rPr>
          <w:rFonts w:ascii="Times New Roman" w:hAnsi="Times New Roman" w:cs="Times New Roman"/>
        </w:rPr>
        <w:t xml:space="preserve">. </w:t>
      </w:r>
      <w:r w:rsidR="001A71E4" w:rsidRPr="00CD411E">
        <w:rPr>
          <w:rFonts w:ascii="Times New Roman" w:hAnsi="Times New Roman" w:cs="Times New Roman"/>
        </w:rPr>
        <w:t>Target 11.7 emphasizes universal access to safe, inclusive, and accessible public spaces. Parks, community centres, and public gathering areas support physical activity, mental well-being, and social interaction. Features such as seating, adequate lighting, safe walking paths, and accessible facilities are essential for inclusive urban design.</w:t>
      </w:r>
    </w:p>
    <w:p w14:paraId="60A6CC56" w14:textId="7C61F863" w:rsidR="001A71E4" w:rsidRPr="00CD411E" w:rsidRDefault="00BC56ED" w:rsidP="00BC56ED">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3</w:t>
      </w:r>
      <w:r w:rsidR="00D55F51" w:rsidRPr="00CD411E">
        <w:rPr>
          <w:rFonts w:ascii="Times New Roman" w:hAnsi="Times New Roman" w:cs="Times New Roman"/>
        </w:rPr>
        <w:t>0</w:t>
      </w:r>
      <w:r w:rsidRPr="00CD411E">
        <w:rPr>
          <w:rFonts w:ascii="Times New Roman" w:hAnsi="Times New Roman" w:cs="Times New Roman"/>
        </w:rPr>
        <w:t xml:space="preserve">. </w:t>
      </w:r>
      <w:r w:rsidR="001A71E4" w:rsidRPr="00CD411E">
        <w:rPr>
          <w:rFonts w:ascii="Times New Roman" w:hAnsi="Times New Roman" w:cs="Times New Roman"/>
        </w:rPr>
        <w:t>Urban resilience under Target 11.b is also closely linked to demographic change. Climate-related hazards such as heatwaves, floods, and extreme weather events disproportionately affect older persons, particularly those living alone or in vulnerable neighbourhoods. Age-inclusive disaster preparedness and climate adaptation strategies—including accessible early warning systems, evacuation procedures, and community support networks—are therefore essential.</w:t>
      </w:r>
    </w:p>
    <w:p w14:paraId="79F9D63B" w14:textId="5582E10E" w:rsidR="001A71E4" w:rsidRPr="00CD411E" w:rsidRDefault="00BC56ED" w:rsidP="00BC56ED">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3</w:t>
      </w:r>
      <w:r w:rsidR="00D55F51" w:rsidRPr="00CD411E">
        <w:rPr>
          <w:rFonts w:ascii="Times New Roman" w:hAnsi="Times New Roman" w:cs="Times New Roman"/>
        </w:rPr>
        <w:t>1</w:t>
      </w:r>
      <w:r w:rsidRPr="00CD411E">
        <w:rPr>
          <w:rFonts w:ascii="Times New Roman" w:hAnsi="Times New Roman" w:cs="Times New Roman"/>
        </w:rPr>
        <w:t xml:space="preserve">. </w:t>
      </w:r>
      <w:r w:rsidR="001A71E4" w:rsidRPr="00CD411E">
        <w:rPr>
          <w:rFonts w:ascii="Times New Roman" w:hAnsi="Times New Roman" w:cs="Times New Roman"/>
        </w:rPr>
        <w:t>The WHO Age-Friendly Cities and Communities initiative provides a comprehensive framework for addressing these challenges. Its eight domains—including housing, transport, social participation, and community support—demonstrate how cities can integrate ageing perspectives into urban policy while strengthening social cohesion and resilience.</w:t>
      </w:r>
    </w:p>
    <w:p w14:paraId="009C9138" w14:textId="1900AFED" w:rsidR="001A71E4" w:rsidRPr="00CD411E" w:rsidRDefault="00BC56ED" w:rsidP="00BC56ED">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3</w:t>
      </w:r>
      <w:r w:rsidR="00D55F51" w:rsidRPr="00CD411E">
        <w:rPr>
          <w:rFonts w:ascii="Times New Roman" w:hAnsi="Times New Roman" w:cs="Times New Roman"/>
        </w:rPr>
        <w:t>2</w:t>
      </w:r>
      <w:r w:rsidRPr="00CD411E">
        <w:rPr>
          <w:rFonts w:ascii="Times New Roman" w:hAnsi="Times New Roman" w:cs="Times New Roman"/>
        </w:rPr>
        <w:t xml:space="preserve">. </w:t>
      </w:r>
      <w:r w:rsidR="001A71E4" w:rsidRPr="00CD411E">
        <w:rPr>
          <w:rFonts w:ascii="Times New Roman" w:hAnsi="Times New Roman" w:cs="Times New Roman"/>
        </w:rPr>
        <w:t>Cities across regions are already implementing age-friendly approaches, including accessible transport systems, housing adaptations, and programmes promoting social participation and lifelong learning. These initiatives show that adapting cities to demographic ageing can generate broader benefits, improving accessibility, safety, and quality of life for all.</w:t>
      </w:r>
    </w:p>
    <w:p w14:paraId="282994B9" w14:textId="77777777" w:rsidR="001A71E4" w:rsidRPr="00CD411E" w:rsidRDefault="001A71E4" w:rsidP="00BC56ED">
      <w:pPr>
        <w:rPr>
          <w:rFonts w:ascii="Times New Roman" w:hAnsi="Times New Roman" w:cs="Times New Roman"/>
          <w:b/>
          <w:bCs/>
        </w:rPr>
      </w:pPr>
    </w:p>
    <w:p w14:paraId="23025623" w14:textId="59518A0A" w:rsidR="001A71E4" w:rsidRPr="00CD411E" w:rsidRDefault="001A71E4" w:rsidP="007725E8">
      <w:pPr>
        <w:rPr>
          <w:rFonts w:ascii="Times New Roman" w:hAnsi="Times New Roman" w:cs="Times New Roman"/>
          <w:b/>
          <w:bCs/>
        </w:rPr>
      </w:pPr>
      <w:r w:rsidRPr="00CD411E">
        <w:rPr>
          <w:rFonts w:ascii="Times New Roman" w:hAnsi="Times New Roman" w:cs="Times New Roman"/>
          <w:b/>
          <w:bCs/>
        </w:rPr>
        <w:t>Recommendations</w:t>
      </w:r>
    </w:p>
    <w:p w14:paraId="2BAF5176" w14:textId="0DF199B7" w:rsidR="001A71E4" w:rsidRPr="00CD411E" w:rsidRDefault="001A71E4" w:rsidP="007725E8">
      <w:pPr>
        <w:pStyle w:val="ListParagraph"/>
        <w:numPr>
          <w:ilvl w:val="0"/>
          <w:numId w:val="8"/>
        </w:numPr>
        <w:ind w:left="426" w:hanging="426"/>
        <w:rPr>
          <w:rFonts w:ascii="Times New Roman" w:hAnsi="Times New Roman" w:cs="Times New Roman"/>
        </w:rPr>
      </w:pPr>
      <w:r w:rsidRPr="00CD411E">
        <w:rPr>
          <w:rFonts w:ascii="Times New Roman" w:hAnsi="Times New Roman" w:cs="Times New Roman"/>
        </w:rPr>
        <w:t>Integrate ageing perspectives into urban planning frameworks and SDG 11 monitoring systems, including the use of age-disaggregated data.</w:t>
      </w:r>
    </w:p>
    <w:p w14:paraId="7FD4E00C" w14:textId="77777777" w:rsidR="001A71E4" w:rsidRPr="00CD411E" w:rsidRDefault="001A71E4" w:rsidP="007725E8">
      <w:pPr>
        <w:pStyle w:val="ListParagraph"/>
        <w:numPr>
          <w:ilvl w:val="0"/>
          <w:numId w:val="8"/>
        </w:numPr>
        <w:ind w:left="426" w:hanging="426"/>
        <w:rPr>
          <w:rFonts w:ascii="Times New Roman" w:hAnsi="Times New Roman" w:cs="Times New Roman"/>
        </w:rPr>
      </w:pPr>
      <w:r w:rsidRPr="00CD411E">
        <w:rPr>
          <w:rFonts w:ascii="Times New Roman" w:hAnsi="Times New Roman" w:cs="Times New Roman"/>
        </w:rPr>
        <w:t>Promote accessible and affordable housing through universal design standards and retrofit programmes.</w:t>
      </w:r>
    </w:p>
    <w:p w14:paraId="24A437CE" w14:textId="64A610F1" w:rsidR="001A71E4" w:rsidRPr="00CD411E" w:rsidRDefault="001A71E4" w:rsidP="007725E8">
      <w:pPr>
        <w:pStyle w:val="ListParagraph"/>
        <w:numPr>
          <w:ilvl w:val="0"/>
          <w:numId w:val="8"/>
        </w:numPr>
        <w:ind w:left="426" w:hanging="426"/>
        <w:rPr>
          <w:rFonts w:ascii="Times New Roman" w:hAnsi="Times New Roman" w:cs="Times New Roman"/>
        </w:rPr>
      </w:pPr>
      <w:r w:rsidRPr="00CD411E">
        <w:rPr>
          <w:rFonts w:ascii="Times New Roman" w:hAnsi="Times New Roman" w:cs="Times New Roman"/>
        </w:rPr>
        <w:t>Strengthen inclusive and accessible transport systems that support mobility and participation.</w:t>
      </w:r>
    </w:p>
    <w:p w14:paraId="4AFD8EA9" w14:textId="77777777" w:rsidR="001A71E4" w:rsidRPr="00CD411E" w:rsidRDefault="001A71E4" w:rsidP="007725E8">
      <w:pPr>
        <w:pStyle w:val="ListParagraph"/>
        <w:numPr>
          <w:ilvl w:val="0"/>
          <w:numId w:val="8"/>
        </w:numPr>
        <w:ind w:left="426" w:hanging="426"/>
        <w:rPr>
          <w:rFonts w:ascii="Times New Roman" w:hAnsi="Times New Roman" w:cs="Times New Roman"/>
        </w:rPr>
      </w:pPr>
      <w:r w:rsidRPr="00CD411E">
        <w:rPr>
          <w:rFonts w:ascii="Times New Roman" w:hAnsi="Times New Roman" w:cs="Times New Roman"/>
        </w:rPr>
        <w:t>Ensure public spaces are safe, inclusive, and accessible for people of all ages.</w:t>
      </w:r>
    </w:p>
    <w:p w14:paraId="7C56C567" w14:textId="77777777" w:rsidR="001A71E4" w:rsidRPr="00CD411E" w:rsidRDefault="001A71E4" w:rsidP="007725E8">
      <w:pPr>
        <w:pStyle w:val="ListParagraph"/>
        <w:numPr>
          <w:ilvl w:val="0"/>
          <w:numId w:val="8"/>
        </w:numPr>
        <w:ind w:left="426" w:hanging="426"/>
        <w:rPr>
          <w:rFonts w:ascii="Times New Roman" w:hAnsi="Times New Roman" w:cs="Times New Roman"/>
        </w:rPr>
      </w:pPr>
      <w:r w:rsidRPr="00CD411E">
        <w:rPr>
          <w:rFonts w:ascii="Times New Roman" w:hAnsi="Times New Roman" w:cs="Times New Roman"/>
        </w:rPr>
        <w:lastRenderedPageBreak/>
        <w:t>Integrate ageing into climate adaptation and disaster risk reduction strategies under Target 11.b.</w:t>
      </w:r>
    </w:p>
    <w:p w14:paraId="27E002B8" w14:textId="77777777" w:rsidR="001A71E4" w:rsidRPr="00CD411E" w:rsidRDefault="001A71E4" w:rsidP="007725E8">
      <w:pPr>
        <w:pStyle w:val="ListParagraph"/>
        <w:numPr>
          <w:ilvl w:val="0"/>
          <w:numId w:val="8"/>
        </w:numPr>
        <w:ind w:left="426" w:hanging="426"/>
        <w:rPr>
          <w:rFonts w:ascii="Times New Roman" w:hAnsi="Times New Roman" w:cs="Times New Roman"/>
        </w:rPr>
      </w:pPr>
      <w:r w:rsidRPr="00CD411E">
        <w:rPr>
          <w:rFonts w:ascii="Times New Roman" w:hAnsi="Times New Roman" w:cs="Times New Roman"/>
        </w:rPr>
        <w:t>Ensure meaningful participation of older persons and their representative organizations in urban governance and planning processes.</w:t>
      </w:r>
    </w:p>
    <w:p w14:paraId="278D2B7A" w14:textId="3C854BE9" w:rsidR="001A71E4" w:rsidRPr="00CD411E" w:rsidRDefault="001A71E4" w:rsidP="005B5878">
      <w:pPr>
        <w:pStyle w:val="ListParagraph"/>
        <w:spacing w:before="120" w:after="120" w:line="240" w:lineRule="auto"/>
        <w:ind w:left="0"/>
        <w:contextualSpacing w:val="0"/>
        <w:rPr>
          <w:rFonts w:ascii="Times New Roman" w:hAnsi="Times New Roman" w:cs="Times New Roman"/>
        </w:rPr>
      </w:pPr>
    </w:p>
    <w:p w14:paraId="1D63EA01" w14:textId="4844CA9C" w:rsidR="001A71E4" w:rsidRPr="00CD411E" w:rsidRDefault="006F79E5" w:rsidP="005B5878">
      <w:pPr>
        <w:pStyle w:val="ListParagraph"/>
        <w:spacing w:before="120" w:after="120" w:line="240" w:lineRule="auto"/>
        <w:ind w:left="0"/>
        <w:contextualSpacing w:val="0"/>
        <w:rPr>
          <w:rFonts w:ascii="Times New Roman" w:hAnsi="Times New Roman" w:cs="Times New Roman"/>
        </w:rPr>
      </w:pPr>
      <w:r>
        <w:pict w14:anchorId="02DA74A2">
          <v:rect id="Horizontal Line 7" o:spid="_x0000_s1033"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A359B1C" w14:textId="77777777" w:rsidR="001A71E4" w:rsidRPr="00CD411E" w:rsidRDefault="001A71E4" w:rsidP="005B5878">
      <w:pPr>
        <w:pStyle w:val="ListParagraph"/>
        <w:spacing w:before="120" w:after="120" w:line="240" w:lineRule="auto"/>
        <w:ind w:left="0"/>
        <w:contextualSpacing w:val="0"/>
        <w:rPr>
          <w:rFonts w:ascii="Times New Roman" w:hAnsi="Times New Roman" w:cs="Times New Roman"/>
        </w:rPr>
      </w:pPr>
    </w:p>
    <w:p w14:paraId="1FF30114" w14:textId="454B7F06" w:rsidR="001A71E4" w:rsidRPr="00CD411E" w:rsidRDefault="001A71E4" w:rsidP="007725E8">
      <w:pPr>
        <w:rPr>
          <w:rFonts w:ascii="Times New Roman" w:hAnsi="Times New Roman" w:cs="Times New Roman"/>
          <w:b/>
          <w:bCs/>
        </w:rPr>
      </w:pPr>
      <w:r w:rsidRPr="00CD411E">
        <w:rPr>
          <w:rFonts w:ascii="Times New Roman" w:hAnsi="Times New Roman" w:cs="Times New Roman"/>
          <w:b/>
          <w:bCs/>
        </w:rPr>
        <w:t xml:space="preserve">SDG 17 — Partnerships for the Goals. Strengthening Collaboration and Improving Age-Disaggregated Data </w:t>
      </w:r>
    </w:p>
    <w:p w14:paraId="487D0CE5" w14:textId="0AC475DA" w:rsidR="001A71E4" w:rsidRPr="00CD411E" w:rsidRDefault="001A71E4" w:rsidP="00167E17">
      <w:pPr>
        <w:spacing w:after="120" w:line="240" w:lineRule="auto"/>
        <w:contextualSpacing/>
        <w:rPr>
          <w:rFonts w:ascii="Times New Roman" w:hAnsi="Times New Roman" w:cs="Times New Roman"/>
          <w:b/>
          <w:bCs/>
          <w:i/>
          <w:iCs/>
        </w:rPr>
      </w:pPr>
      <w:r w:rsidRPr="00CD411E">
        <w:rPr>
          <w:rFonts w:ascii="Times New Roman" w:hAnsi="Times New Roman" w:cs="Times New Roman"/>
          <w:b/>
          <w:bCs/>
          <w:i/>
          <w:iCs/>
        </w:rPr>
        <w:t>Advancing sustainable development in ageing societies requires stronger partnerships and reliable age-disaggregated data.</w:t>
      </w:r>
    </w:p>
    <w:p w14:paraId="558C6E6B" w14:textId="77777777" w:rsidR="001A71E4" w:rsidRPr="00CD411E" w:rsidRDefault="001A71E4" w:rsidP="00167E17">
      <w:pPr>
        <w:spacing w:after="120" w:line="240" w:lineRule="auto"/>
        <w:contextualSpacing/>
        <w:rPr>
          <w:rFonts w:ascii="Times New Roman" w:hAnsi="Times New Roman" w:cs="Times New Roman"/>
          <w:b/>
          <w:bCs/>
          <w:i/>
          <w:iCs/>
        </w:rPr>
      </w:pPr>
    </w:p>
    <w:p w14:paraId="6DE74B16" w14:textId="194C867D" w:rsidR="00D55F51" w:rsidRPr="00CD411E" w:rsidRDefault="00D55F51" w:rsidP="00D55F51">
      <w:pPr>
        <w:rPr>
          <w:rFonts w:ascii="Times New Roman" w:hAnsi="Times New Roman" w:cs="Times New Roman"/>
        </w:rPr>
      </w:pPr>
      <w:r w:rsidRPr="00CD411E">
        <w:rPr>
          <w:rFonts w:ascii="Times New Roman" w:hAnsi="Times New Roman" w:cs="Times New Roman"/>
        </w:rPr>
        <w:t>33</w:t>
      </w:r>
      <w:r w:rsidR="009164C9" w:rsidRPr="00CD411E">
        <w:rPr>
          <w:rFonts w:ascii="Times New Roman" w:hAnsi="Times New Roman" w:cs="Times New Roman"/>
        </w:rPr>
        <w:t>. Population ageing is reshaping societies across all regions</w:t>
      </w:r>
      <w:r w:rsidR="00D22991" w:rsidRPr="00CD411E">
        <w:rPr>
          <w:rFonts w:ascii="Times New Roman" w:hAnsi="Times New Roman" w:cs="Times New Roman"/>
        </w:rPr>
        <w:t xml:space="preserve">.  </w:t>
      </w:r>
      <w:r w:rsidRPr="00CD411E">
        <w:rPr>
          <w:rFonts w:ascii="Times New Roman" w:hAnsi="Times New Roman" w:cs="Times New Roman"/>
        </w:rPr>
        <w:t>This is why c</w:t>
      </w:r>
      <w:r w:rsidR="00D22991" w:rsidRPr="00CD411E">
        <w:rPr>
          <w:rFonts w:ascii="Times New Roman" w:hAnsi="Times New Roman" w:cs="Times New Roman"/>
        </w:rPr>
        <w:t>oordinated</w:t>
      </w:r>
      <w:r w:rsidR="009164C9" w:rsidRPr="00CD411E">
        <w:rPr>
          <w:rFonts w:ascii="Times New Roman" w:hAnsi="Times New Roman" w:cs="Times New Roman"/>
        </w:rPr>
        <w:t xml:space="preserve"> action </w:t>
      </w:r>
      <w:r w:rsidR="00D22991" w:rsidRPr="00CD411E">
        <w:rPr>
          <w:rFonts w:ascii="Times New Roman" w:hAnsi="Times New Roman" w:cs="Times New Roman"/>
        </w:rPr>
        <w:t>by</w:t>
      </w:r>
      <w:r w:rsidR="009164C9" w:rsidRPr="00CD411E">
        <w:rPr>
          <w:rFonts w:ascii="Times New Roman" w:hAnsi="Times New Roman" w:cs="Times New Roman"/>
        </w:rPr>
        <w:t xml:space="preserve"> institutions</w:t>
      </w:r>
      <w:r w:rsidR="001115DD" w:rsidRPr="00CD411E">
        <w:rPr>
          <w:rFonts w:ascii="Times New Roman" w:hAnsi="Times New Roman" w:cs="Times New Roman"/>
        </w:rPr>
        <w:t xml:space="preserve"> </w:t>
      </w:r>
      <w:r w:rsidR="009164C9" w:rsidRPr="00CD411E">
        <w:rPr>
          <w:rFonts w:ascii="Times New Roman" w:hAnsi="Times New Roman" w:cs="Times New Roman"/>
        </w:rPr>
        <w:t>and stakeholders</w:t>
      </w:r>
      <w:r w:rsidR="001115DD" w:rsidRPr="00CD411E">
        <w:rPr>
          <w:rFonts w:ascii="Times New Roman" w:hAnsi="Times New Roman" w:cs="Times New Roman"/>
        </w:rPr>
        <w:t xml:space="preserve"> – </w:t>
      </w:r>
      <w:r w:rsidR="009164C9" w:rsidRPr="00CD411E">
        <w:rPr>
          <w:rFonts w:ascii="Times New Roman" w:hAnsi="Times New Roman" w:cs="Times New Roman"/>
        </w:rPr>
        <w:t>including governments, civil society and relevant United Nations agencies and bodies</w:t>
      </w:r>
      <w:r w:rsidR="001115DD" w:rsidRPr="00CD411E">
        <w:rPr>
          <w:rFonts w:ascii="Times New Roman" w:hAnsi="Times New Roman" w:cs="Times New Roman"/>
        </w:rPr>
        <w:t xml:space="preserve"> – is needed to </w:t>
      </w:r>
      <w:r w:rsidRPr="00CD411E">
        <w:rPr>
          <w:rFonts w:ascii="Times New Roman" w:hAnsi="Times New Roman" w:cs="Times New Roman"/>
        </w:rPr>
        <w:t xml:space="preserve">harness its opportunities and address </w:t>
      </w:r>
      <w:r w:rsidR="000223D6" w:rsidRPr="00CD411E">
        <w:rPr>
          <w:rFonts w:ascii="Times New Roman" w:hAnsi="Times New Roman" w:cs="Times New Roman"/>
        </w:rPr>
        <w:t>its challenges</w:t>
      </w:r>
      <w:r w:rsidRPr="00CD411E">
        <w:rPr>
          <w:rFonts w:ascii="Times New Roman" w:hAnsi="Times New Roman" w:cs="Times New Roman"/>
        </w:rPr>
        <w:t xml:space="preserve">. </w:t>
      </w:r>
      <w:r w:rsidR="000223D6" w:rsidRPr="00CD411E">
        <w:rPr>
          <w:rFonts w:ascii="Times New Roman" w:hAnsi="Times New Roman" w:cs="Times New Roman"/>
        </w:rPr>
        <w:t>Strengthening the</w:t>
      </w:r>
      <w:r w:rsidR="001A71E4" w:rsidRPr="00CD411E">
        <w:rPr>
          <w:rFonts w:ascii="Times New Roman" w:hAnsi="Times New Roman" w:cs="Times New Roman"/>
        </w:rPr>
        <w:t xml:space="preserve"> means of implementation and revitaliz</w:t>
      </w:r>
      <w:r w:rsidR="009164C9" w:rsidRPr="00CD411E">
        <w:rPr>
          <w:rFonts w:ascii="Times New Roman" w:hAnsi="Times New Roman" w:cs="Times New Roman"/>
        </w:rPr>
        <w:t>ing</w:t>
      </w:r>
      <w:r w:rsidR="001A71E4" w:rsidRPr="00CD411E">
        <w:rPr>
          <w:rFonts w:ascii="Times New Roman" w:hAnsi="Times New Roman" w:cs="Times New Roman"/>
        </w:rPr>
        <w:t xml:space="preserve"> the global partnership for sustainable development</w:t>
      </w:r>
      <w:r w:rsidR="009164C9" w:rsidRPr="00CD411E">
        <w:rPr>
          <w:rFonts w:ascii="Times New Roman" w:hAnsi="Times New Roman" w:cs="Times New Roman"/>
        </w:rPr>
        <w:t xml:space="preserve"> therefore requires population </w:t>
      </w:r>
      <w:r w:rsidR="001A71E4" w:rsidRPr="00CD411E">
        <w:rPr>
          <w:rFonts w:ascii="Times New Roman" w:hAnsi="Times New Roman" w:cs="Times New Roman"/>
        </w:rPr>
        <w:t>ageing</w:t>
      </w:r>
      <w:r w:rsidR="009164C9" w:rsidRPr="00CD411E">
        <w:rPr>
          <w:rFonts w:ascii="Times New Roman" w:hAnsi="Times New Roman" w:cs="Times New Roman"/>
        </w:rPr>
        <w:t xml:space="preserve"> to be </w:t>
      </w:r>
      <w:r w:rsidR="001A71E4" w:rsidRPr="00CD411E">
        <w:rPr>
          <w:rFonts w:ascii="Times New Roman" w:hAnsi="Times New Roman" w:cs="Times New Roman"/>
        </w:rPr>
        <w:t>fully integrated into development policies</w:t>
      </w:r>
      <w:r w:rsidR="009164C9" w:rsidRPr="00CD411E">
        <w:rPr>
          <w:rFonts w:ascii="Times New Roman" w:hAnsi="Times New Roman" w:cs="Times New Roman"/>
        </w:rPr>
        <w:t>, programmes and budgets</w:t>
      </w:r>
      <w:r w:rsidRPr="00CD411E">
        <w:rPr>
          <w:rFonts w:ascii="Times New Roman" w:hAnsi="Times New Roman" w:cs="Times New Roman"/>
        </w:rPr>
        <w:t>.</w:t>
      </w:r>
    </w:p>
    <w:p w14:paraId="2D485963" w14:textId="02B7EDE2" w:rsidR="001A71E4" w:rsidRPr="00CD411E" w:rsidRDefault="00D55F51" w:rsidP="00D55F51">
      <w:pPr>
        <w:spacing w:before="120" w:after="120" w:line="240" w:lineRule="auto"/>
        <w:rPr>
          <w:rFonts w:ascii="Times New Roman" w:hAnsi="Times New Roman" w:cs="Times New Roman"/>
        </w:rPr>
      </w:pPr>
      <w:r w:rsidRPr="00CD411E">
        <w:rPr>
          <w:rFonts w:ascii="Times New Roman" w:hAnsi="Times New Roman" w:cs="Times New Roman"/>
        </w:rPr>
        <w:t xml:space="preserve">34. </w:t>
      </w:r>
      <w:r w:rsidR="009164C9" w:rsidRPr="00CD411E">
        <w:rPr>
          <w:rFonts w:ascii="Times New Roman" w:hAnsi="Times New Roman" w:cs="Times New Roman"/>
        </w:rPr>
        <w:t xml:space="preserve">Governments, United Nations agencies, civil society </w:t>
      </w:r>
      <w:r w:rsidR="000223D6" w:rsidRPr="00CD411E">
        <w:rPr>
          <w:rFonts w:ascii="Times New Roman" w:hAnsi="Times New Roman" w:cs="Times New Roman"/>
        </w:rPr>
        <w:t>organizations, women’s</w:t>
      </w:r>
      <w:r w:rsidR="009164C9" w:rsidRPr="00CD411E">
        <w:rPr>
          <w:rFonts w:ascii="Times New Roman" w:hAnsi="Times New Roman" w:cs="Times New Roman"/>
        </w:rPr>
        <w:t xml:space="preserve"> organisations, organisations of older persons, and organisations of persons with disabilities, academic institutions, and the private sector all play important roles in advancing inclusive policies that respond to demographic change. </w:t>
      </w:r>
      <w:r w:rsidRPr="00CD411E">
        <w:rPr>
          <w:rFonts w:ascii="Times New Roman" w:hAnsi="Times New Roman" w:cs="Times New Roman"/>
        </w:rPr>
        <w:t>E</w:t>
      </w:r>
      <w:r w:rsidR="001A71E4" w:rsidRPr="00CD411E">
        <w:rPr>
          <w:rFonts w:ascii="Times New Roman" w:hAnsi="Times New Roman" w:cs="Times New Roman"/>
        </w:rPr>
        <w:t xml:space="preserve">ffective partnerships </w:t>
      </w:r>
      <w:r w:rsidR="009164C9" w:rsidRPr="00CD411E">
        <w:rPr>
          <w:rFonts w:ascii="Times New Roman" w:hAnsi="Times New Roman" w:cs="Times New Roman"/>
        </w:rPr>
        <w:t xml:space="preserve">with them </w:t>
      </w:r>
      <w:r w:rsidR="001A71E4" w:rsidRPr="00CD411E">
        <w:rPr>
          <w:rFonts w:ascii="Times New Roman" w:hAnsi="Times New Roman" w:cs="Times New Roman"/>
        </w:rPr>
        <w:t xml:space="preserve">are essential to ensure that ageing is not treated as an afterthought but as a central dimension of sustainable development. </w:t>
      </w:r>
    </w:p>
    <w:p w14:paraId="3A0375DB" w14:textId="0D2D10A3" w:rsidR="001A71E4" w:rsidRPr="00CD411E" w:rsidRDefault="00D55F51" w:rsidP="00D55F51">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 xml:space="preserve">35. </w:t>
      </w:r>
      <w:r w:rsidR="001A71E4" w:rsidRPr="00CD411E">
        <w:rPr>
          <w:rFonts w:ascii="Times New Roman" w:hAnsi="Times New Roman" w:cs="Times New Roman"/>
        </w:rPr>
        <w:t>Meaningful partnerships must actively involve older persons in shaping solutions. Older persons are not only beneficiaries of development policies</w:t>
      </w:r>
      <w:r w:rsidR="009164C9" w:rsidRPr="00CD411E">
        <w:rPr>
          <w:rFonts w:ascii="Times New Roman" w:hAnsi="Times New Roman" w:cs="Times New Roman"/>
        </w:rPr>
        <w:t xml:space="preserve"> but are </w:t>
      </w:r>
      <w:r w:rsidR="001A71E4" w:rsidRPr="00CD411E">
        <w:rPr>
          <w:rFonts w:ascii="Times New Roman" w:hAnsi="Times New Roman" w:cs="Times New Roman"/>
        </w:rPr>
        <w:t>agents of change, contributing knowledge, experience, and leadership within their communities.</w:t>
      </w:r>
    </w:p>
    <w:p w14:paraId="7A594EEF" w14:textId="6C8D7B5E" w:rsidR="001A71E4" w:rsidRPr="00CD411E" w:rsidRDefault="00D55F51" w:rsidP="00D55F51">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 xml:space="preserve">36. </w:t>
      </w:r>
      <w:r w:rsidR="001A71E4" w:rsidRPr="00CD411E">
        <w:rPr>
          <w:rFonts w:ascii="Times New Roman" w:hAnsi="Times New Roman" w:cs="Times New Roman"/>
        </w:rPr>
        <w:t>Older persons’ organizations—</w:t>
      </w:r>
      <w:r w:rsidR="001115DD" w:rsidRPr="00CD411E">
        <w:rPr>
          <w:rFonts w:ascii="Times New Roman" w:hAnsi="Times New Roman" w:cs="Times New Roman"/>
        </w:rPr>
        <w:t xml:space="preserve">with </w:t>
      </w:r>
      <w:r w:rsidR="00CD411E" w:rsidRPr="00CD411E">
        <w:rPr>
          <w:rFonts w:ascii="Times New Roman" w:hAnsi="Times New Roman" w:cs="Times New Roman"/>
        </w:rPr>
        <w:t>innumerable</w:t>
      </w:r>
      <w:r w:rsidR="001115DD" w:rsidRPr="00CD411E">
        <w:rPr>
          <w:rFonts w:ascii="Times New Roman" w:hAnsi="Times New Roman" w:cs="Times New Roman"/>
        </w:rPr>
        <w:t xml:space="preserve"> of members</w:t>
      </w:r>
      <w:r w:rsidR="001A71E4" w:rsidRPr="00CD411E">
        <w:rPr>
          <w:rFonts w:ascii="Times New Roman" w:hAnsi="Times New Roman" w:cs="Times New Roman"/>
        </w:rPr>
        <w:t xml:space="preserve"> worldwide—play a critical role in amplifying local perspectives, strengthening accountability, and supporting implementation of national policies. Their inclusion in policy dialogue and decision-making is essential to ensure that development strategies reflect </w:t>
      </w:r>
      <w:r w:rsidR="003E247C" w:rsidRPr="00CD411E">
        <w:rPr>
          <w:rFonts w:ascii="Times New Roman" w:hAnsi="Times New Roman" w:cs="Times New Roman"/>
        </w:rPr>
        <w:t xml:space="preserve">the </w:t>
      </w:r>
      <w:r w:rsidR="001A71E4" w:rsidRPr="00CD411E">
        <w:rPr>
          <w:rFonts w:ascii="Times New Roman" w:hAnsi="Times New Roman" w:cs="Times New Roman"/>
        </w:rPr>
        <w:t>lived realities</w:t>
      </w:r>
      <w:r w:rsidR="003E247C" w:rsidRPr="00CD411E">
        <w:rPr>
          <w:rFonts w:ascii="Times New Roman" w:hAnsi="Times New Roman" w:cs="Times New Roman"/>
        </w:rPr>
        <w:t xml:space="preserve"> of older persons and their households, including those which are multigenerational</w:t>
      </w:r>
      <w:r w:rsidR="001A71E4" w:rsidRPr="00CD411E">
        <w:rPr>
          <w:rFonts w:ascii="Times New Roman" w:hAnsi="Times New Roman" w:cs="Times New Roman"/>
        </w:rPr>
        <w:t>.</w:t>
      </w:r>
    </w:p>
    <w:p w14:paraId="708BC7C8" w14:textId="35F94D2B" w:rsidR="00FB05B3" w:rsidRPr="00CD411E" w:rsidRDefault="00D55F51" w:rsidP="00D55F51">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 xml:space="preserve">37. </w:t>
      </w:r>
      <w:r w:rsidR="001A71E4" w:rsidRPr="00CD411E">
        <w:rPr>
          <w:rFonts w:ascii="Times New Roman" w:hAnsi="Times New Roman" w:cs="Times New Roman"/>
        </w:rPr>
        <w:t>Examples from Africa and the Middle East demonstrate how partnerships can strengthen inclusive policies addressing ageing populations. In Rwanda, integrated social protection and health systems combine national leadership with international cooperation to expand access to services</w:t>
      </w:r>
      <w:r w:rsidR="00CD411E" w:rsidRPr="00CD411E">
        <w:rPr>
          <w:rFonts w:ascii="Times New Roman" w:hAnsi="Times New Roman" w:cs="Times New Roman"/>
        </w:rPr>
        <w:t>, improving the quality of life for older persons.</w:t>
      </w:r>
      <w:r w:rsidR="001A71E4" w:rsidRPr="00CD411E">
        <w:rPr>
          <w:rStyle w:val="EndnoteReference"/>
          <w:rFonts w:ascii="Times New Roman" w:hAnsi="Times New Roman" w:cs="Times New Roman"/>
        </w:rPr>
        <w:endnoteReference w:id="6"/>
      </w:r>
      <w:r w:rsidR="001A71E4" w:rsidRPr="00CD411E">
        <w:rPr>
          <w:rFonts w:ascii="Times New Roman" w:hAnsi="Times New Roman" w:cs="Times New Roman"/>
        </w:rPr>
        <w:t xml:space="preserve"> In Kenya, the Older Persons Cash Transfer Programme illustrates how collaboration between governments and development partners can strengthen income security</w:t>
      </w:r>
      <w:r w:rsidR="001A71E4" w:rsidRPr="00CD411E">
        <w:rPr>
          <w:rStyle w:val="EndnoteReference"/>
          <w:rFonts w:ascii="Times New Roman" w:hAnsi="Times New Roman" w:cs="Times New Roman"/>
        </w:rPr>
        <w:endnoteReference w:id="7"/>
      </w:r>
      <w:r w:rsidR="001A71E4" w:rsidRPr="00CD411E">
        <w:rPr>
          <w:rFonts w:ascii="Times New Roman" w:hAnsi="Times New Roman" w:cs="Times New Roman"/>
        </w:rPr>
        <w:t>. In South Africa, the Older Persons Act provides a rights-based framework supported by cooperation between government institutions and civil society organizations</w:t>
      </w:r>
      <w:r w:rsidR="001A71E4" w:rsidRPr="00CD411E">
        <w:rPr>
          <w:rStyle w:val="EndnoteReference"/>
          <w:rFonts w:ascii="Times New Roman" w:hAnsi="Times New Roman" w:cs="Times New Roman"/>
        </w:rPr>
        <w:endnoteReference w:id="8"/>
      </w:r>
      <w:r w:rsidR="001A71E4" w:rsidRPr="00CD411E">
        <w:rPr>
          <w:rFonts w:ascii="Times New Roman" w:hAnsi="Times New Roman" w:cs="Times New Roman"/>
        </w:rPr>
        <w:t>. Similar initiatives in Morocco and Tunisia highlight the role of partnerships in advancing social inclusion and health services</w:t>
      </w:r>
      <w:r w:rsidR="001A71E4" w:rsidRPr="00CD411E">
        <w:rPr>
          <w:rStyle w:val="EndnoteReference"/>
          <w:rFonts w:ascii="Times New Roman" w:hAnsi="Times New Roman" w:cs="Times New Roman"/>
        </w:rPr>
        <w:endnoteReference w:id="9"/>
      </w:r>
      <w:r w:rsidR="001A71E4" w:rsidRPr="00CD411E">
        <w:rPr>
          <w:rFonts w:ascii="Times New Roman" w:hAnsi="Times New Roman" w:cs="Times New Roman"/>
        </w:rPr>
        <w:t xml:space="preserve">. </w:t>
      </w:r>
    </w:p>
    <w:p w14:paraId="4FB7B337" w14:textId="5A5BA023" w:rsidR="001A71E4" w:rsidRPr="00CD411E" w:rsidRDefault="00D55F51" w:rsidP="00D55F51">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lastRenderedPageBreak/>
        <w:t xml:space="preserve">38. </w:t>
      </w:r>
      <w:r w:rsidR="001A71E4" w:rsidRPr="00CD411E">
        <w:rPr>
          <w:rFonts w:ascii="Times New Roman" w:hAnsi="Times New Roman" w:cs="Times New Roman"/>
        </w:rPr>
        <w:t xml:space="preserve">Digital transformation presents both opportunities and risks. While digital technologies can enhance </w:t>
      </w:r>
      <w:r w:rsidR="003E247C" w:rsidRPr="00CD411E">
        <w:rPr>
          <w:rFonts w:ascii="Times New Roman" w:hAnsi="Times New Roman" w:cs="Times New Roman"/>
        </w:rPr>
        <w:t xml:space="preserve">some peoples </w:t>
      </w:r>
      <w:r w:rsidR="001A71E4" w:rsidRPr="00CD411E">
        <w:rPr>
          <w:rFonts w:ascii="Times New Roman" w:hAnsi="Times New Roman" w:cs="Times New Roman"/>
        </w:rPr>
        <w:t xml:space="preserve">access to services and participation, older persons—including older persons with disabilities—often face barriers related to affordability, accessibility, and digital literacy. </w:t>
      </w:r>
      <w:r w:rsidR="001115DD" w:rsidRPr="00CD411E">
        <w:rPr>
          <w:rFonts w:ascii="Times New Roman" w:hAnsi="Times New Roman" w:cs="Times New Roman"/>
        </w:rPr>
        <w:t>Older persons face significant risks from unscrupulous scammer searching for evidence of vulnerability.</w:t>
      </w:r>
      <w:r w:rsidR="003E247C" w:rsidRPr="00CD411E">
        <w:rPr>
          <w:rFonts w:ascii="Times New Roman" w:hAnsi="Times New Roman" w:cs="Times New Roman"/>
        </w:rPr>
        <w:t xml:space="preserve">  </w:t>
      </w:r>
      <w:r w:rsidR="001A71E4" w:rsidRPr="00CD411E">
        <w:rPr>
          <w:rFonts w:ascii="Times New Roman" w:hAnsi="Times New Roman" w:cs="Times New Roman"/>
        </w:rPr>
        <w:t xml:space="preserve">Without </w:t>
      </w:r>
      <w:r w:rsidR="003E247C" w:rsidRPr="00CD411E">
        <w:rPr>
          <w:rFonts w:ascii="Times New Roman" w:hAnsi="Times New Roman" w:cs="Times New Roman"/>
        </w:rPr>
        <w:t xml:space="preserve">resources being devoted to </w:t>
      </w:r>
      <w:r w:rsidR="001A71E4" w:rsidRPr="00CD411E">
        <w:rPr>
          <w:rFonts w:ascii="Times New Roman" w:hAnsi="Times New Roman" w:cs="Times New Roman"/>
        </w:rPr>
        <w:t xml:space="preserve">deliberate inclusion, </w:t>
      </w:r>
      <w:r w:rsidR="003E247C" w:rsidRPr="00CD411E">
        <w:rPr>
          <w:rFonts w:ascii="Times New Roman" w:hAnsi="Times New Roman" w:cs="Times New Roman"/>
        </w:rPr>
        <w:t xml:space="preserve">especially with regard to gender and disability in older age, </w:t>
      </w:r>
      <w:r w:rsidR="001A71E4" w:rsidRPr="00CD411E">
        <w:rPr>
          <w:rFonts w:ascii="Times New Roman" w:hAnsi="Times New Roman" w:cs="Times New Roman"/>
        </w:rPr>
        <w:t xml:space="preserve">many risk being </w:t>
      </w:r>
      <w:r w:rsidR="003E247C" w:rsidRPr="00CD411E">
        <w:rPr>
          <w:rFonts w:ascii="Times New Roman" w:hAnsi="Times New Roman" w:cs="Times New Roman"/>
        </w:rPr>
        <w:t xml:space="preserve">subject to crime </w:t>
      </w:r>
      <w:r w:rsidR="000223D6" w:rsidRPr="00CD411E">
        <w:rPr>
          <w:rFonts w:ascii="Times New Roman" w:hAnsi="Times New Roman" w:cs="Times New Roman"/>
        </w:rPr>
        <w:t>and exclusion from</w:t>
      </w:r>
      <w:r w:rsidR="001A71E4" w:rsidRPr="00CD411E">
        <w:rPr>
          <w:rFonts w:ascii="Times New Roman" w:hAnsi="Times New Roman" w:cs="Times New Roman"/>
        </w:rPr>
        <w:t xml:space="preserve"> essential services, financial systems, and public discourse. Addressing the digital divide </w:t>
      </w:r>
      <w:r w:rsidR="003E247C" w:rsidRPr="00CD411E">
        <w:rPr>
          <w:rFonts w:ascii="Times New Roman" w:hAnsi="Times New Roman" w:cs="Times New Roman"/>
        </w:rPr>
        <w:t xml:space="preserve">with an age perspective </w:t>
      </w:r>
      <w:r w:rsidR="001A71E4" w:rsidRPr="00CD411E">
        <w:rPr>
          <w:rFonts w:ascii="Times New Roman" w:hAnsi="Times New Roman" w:cs="Times New Roman"/>
        </w:rPr>
        <w:t xml:space="preserve">is therefore a key component of </w:t>
      </w:r>
      <w:r w:rsidR="003E247C" w:rsidRPr="00CD411E">
        <w:rPr>
          <w:rFonts w:ascii="Times New Roman" w:hAnsi="Times New Roman" w:cs="Times New Roman"/>
        </w:rPr>
        <w:t xml:space="preserve">successful and equitable </w:t>
      </w:r>
      <w:r w:rsidR="001A71E4" w:rsidRPr="00CD411E">
        <w:rPr>
          <w:rFonts w:ascii="Times New Roman" w:hAnsi="Times New Roman" w:cs="Times New Roman"/>
        </w:rPr>
        <w:t>partnerships.</w:t>
      </w:r>
    </w:p>
    <w:p w14:paraId="19DA50AA" w14:textId="77777777" w:rsidR="00EA07A0" w:rsidRPr="00CD411E" w:rsidRDefault="00EA07A0" w:rsidP="00EA07A0">
      <w:pPr>
        <w:pStyle w:val="ListParagraph"/>
        <w:spacing w:before="120" w:after="120" w:line="240" w:lineRule="auto"/>
        <w:ind w:left="0"/>
        <w:contextualSpacing w:val="0"/>
        <w:rPr>
          <w:rFonts w:ascii="Times New Roman" w:hAnsi="Times New Roman" w:cs="Times New Roman"/>
        </w:rPr>
      </w:pPr>
    </w:p>
    <w:p w14:paraId="69D02ECD" w14:textId="77777777" w:rsidR="001A71E4" w:rsidRPr="00CD411E" w:rsidRDefault="001A71E4" w:rsidP="00B4544C">
      <w:pPr>
        <w:pStyle w:val="ListParagraph"/>
        <w:spacing w:before="120" w:after="120" w:line="240" w:lineRule="auto"/>
        <w:ind w:left="0"/>
        <w:contextualSpacing w:val="0"/>
        <w:rPr>
          <w:rFonts w:ascii="Times New Roman" w:hAnsi="Times New Roman" w:cs="Times New Roman"/>
        </w:rPr>
      </w:pPr>
    </w:p>
    <w:p w14:paraId="2DD16DE1" w14:textId="77777777" w:rsidR="00CD411E" w:rsidRDefault="00CD411E">
      <w:pPr>
        <w:rPr>
          <w:rFonts w:ascii="Times New Roman" w:hAnsi="Times New Roman" w:cs="Times New Roman"/>
          <w:b/>
          <w:bCs/>
        </w:rPr>
      </w:pPr>
      <w:r>
        <w:rPr>
          <w:rFonts w:ascii="Times New Roman" w:hAnsi="Times New Roman" w:cs="Times New Roman"/>
          <w:b/>
          <w:bCs/>
        </w:rPr>
        <w:br w:type="page"/>
      </w:r>
    </w:p>
    <w:p w14:paraId="6C2E3D7F" w14:textId="0EAA1417" w:rsidR="001A71E4" w:rsidRPr="00CD411E" w:rsidRDefault="001A71E4" w:rsidP="0092270D">
      <w:pPr>
        <w:rPr>
          <w:rFonts w:ascii="Times New Roman" w:hAnsi="Times New Roman" w:cs="Times New Roman"/>
          <w:b/>
          <w:bCs/>
        </w:rPr>
      </w:pPr>
      <w:r w:rsidRPr="00CD411E">
        <w:rPr>
          <w:rFonts w:ascii="Times New Roman" w:hAnsi="Times New Roman" w:cs="Times New Roman"/>
          <w:b/>
          <w:bCs/>
        </w:rPr>
        <w:lastRenderedPageBreak/>
        <w:t>Recommendations</w:t>
      </w:r>
    </w:p>
    <w:p w14:paraId="44FA14A4" w14:textId="70BD4DCB" w:rsidR="001A71E4" w:rsidRPr="00CD411E" w:rsidRDefault="001A71E4" w:rsidP="0092270D">
      <w:pPr>
        <w:pStyle w:val="ListParagraph"/>
        <w:numPr>
          <w:ilvl w:val="0"/>
          <w:numId w:val="10"/>
        </w:numPr>
        <w:ind w:left="426" w:hanging="426"/>
        <w:rPr>
          <w:rFonts w:ascii="Times New Roman" w:hAnsi="Times New Roman" w:cs="Times New Roman"/>
        </w:rPr>
      </w:pPr>
      <w:r w:rsidRPr="00CD411E">
        <w:rPr>
          <w:rFonts w:ascii="Times New Roman" w:hAnsi="Times New Roman" w:cs="Times New Roman"/>
        </w:rPr>
        <w:t>Strengthen multi-stakeholder partnerships involving governments, civil society organizations—including organisations of older persons</w:t>
      </w:r>
      <w:r w:rsidR="003E247C" w:rsidRPr="00CD411E">
        <w:rPr>
          <w:rFonts w:ascii="Times New Roman" w:hAnsi="Times New Roman" w:cs="Times New Roman"/>
        </w:rPr>
        <w:t>, women</w:t>
      </w:r>
      <w:r w:rsidR="001115DD" w:rsidRPr="00CD411E">
        <w:rPr>
          <w:rFonts w:ascii="Times New Roman" w:hAnsi="Times New Roman" w:cs="Times New Roman"/>
        </w:rPr>
        <w:t>’</w:t>
      </w:r>
      <w:r w:rsidR="003E247C" w:rsidRPr="00CD411E">
        <w:rPr>
          <w:rFonts w:ascii="Times New Roman" w:hAnsi="Times New Roman" w:cs="Times New Roman"/>
        </w:rPr>
        <w:t xml:space="preserve">s </w:t>
      </w:r>
      <w:r w:rsidR="000223D6" w:rsidRPr="00CD411E">
        <w:rPr>
          <w:rFonts w:ascii="Times New Roman" w:hAnsi="Times New Roman" w:cs="Times New Roman"/>
        </w:rPr>
        <w:t>organisations and</w:t>
      </w:r>
      <w:r w:rsidRPr="00CD411E">
        <w:rPr>
          <w:rFonts w:ascii="Times New Roman" w:hAnsi="Times New Roman" w:cs="Times New Roman"/>
        </w:rPr>
        <w:t xml:space="preserve"> organisations of persons with disabilities—and other stakeholders.</w:t>
      </w:r>
    </w:p>
    <w:p w14:paraId="48F6B9CF" w14:textId="31BF14BC" w:rsidR="001A71E4" w:rsidRPr="00CD411E" w:rsidRDefault="001A71E4" w:rsidP="0092270D">
      <w:pPr>
        <w:pStyle w:val="ListParagraph"/>
        <w:numPr>
          <w:ilvl w:val="0"/>
          <w:numId w:val="10"/>
        </w:numPr>
        <w:ind w:left="426" w:hanging="426"/>
        <w:rPr>
          <w:rFonts w:ascii="Times New Roman" w:hAnsi="Times New Roman" w:cs="Times New Roman"/>
        </w:rPr>
      </w:pPr>
      <w:r w:rsidRPr="00CD411E">
        <w:rPr>
          <w:rFonts w:ascii="Times New Roman" w:hAnsi="Times New Roman" w:cs="Times New Roman"/>
        </w:rPr>
        <w:t xml:space="preserve">Promote inclusive digital policies and accessible technologies that enable full participation </w:t>
      </w:r>
      <w:r w:rsidR="003E247C" w:rsidRPr="00CD411E">
        <w:rPr>
          <w:rFonts w:ascii="Times New Roman" w:hAnsi="Times New Roman" w:cs="Times New Roman"/>
        </w:rPr>
        <w:t xml:space="preserve">and enhance the safety </w:t>
      </w:r>
      <w:r w:rsidRPr="00CD411E">
        <w:rPr>
          <w:rFonts w:ascii="Times New Roman" w:hAnsi="Times New Roman" w:cs="Times New Roman"/>
        </w:rPr>
        <w:t>of older persons.</w:t>
      </w:r>
    </w:p>
    <w:p w14:paraId="3C43190F" w14:textId="3852C684" w:rsidR="001A71E4" w:rsidRPr="00CD411E" w:rsidRDefault="001A71E4" w:rsidP="0092270D">
      <w:pPr>
        <w:pStyle w:val="ListParagraph"/>
        <w:numPr>
          <w:ilvl w:val="0"/>
          <w:numId w:val="10"/>
        </w:numPr>
        <w:ind w:left="426" w:hanging="426"/>
        <w:rPr>
          <w:rFonts w:ascii="Times New Roman" w:hAnsi="Times New Roman" w:cs="Times New Roman"/>
        </w:rPr>
      </w:pPr>
      <w:r w:rsidRPr="00CD411E">
        <w:rPr>
          <w:rFonts w:ascii="Times New Roman" w:hAnsi="Times New Roman" w:cs="Times New Roman"/>
        </w:rPr>
        <w:t xml:space="preserve">Support cross-sectoral collaboration integrating ageing into social protection, health, </w:t>
      </w:r>
      <w:r w:rsidR="00520746" w:rsidRPr="00CD411E">
        <w:rPr>
          <w:rFonts w:ascii="Times New Roman" w:hAnsi="Times New Roman" w:cs="Times New Roman"/>
        </w:rPr>
        <w:t xml:space="preserve">environmental </w:t>
      </w:r>
      <w:r w:rsidRPr="00CD411E">
        <w:rPr>
          <w:rFonts w:ascii="Times New Roman" w:hAnsi="Times New Roman" w:cs="Times New Roman"/>
        </w:rPr>
        <w:t>and development frameworks.</w:t>
      </w:r>
    </w:p>
    <w:p w14:paraId="75252CA3" w14:textId="2C3208D0" w:rsidR="001A71E4" w:rsidRPr="00CD411E" w:rsidRDefault="00520746" w:rsidP="0092270D">
      <w:pPr>
        <w:pStyle w:val="ListParagraph"/>
        <w:numPr>
          <w:ilvl w:val="0"/>
          <w:numId w:val="10"/>
        </w:numPr>
        <w:ind w:left="426" w:hanging="426"/>
        <w:rPr>
          <w:rFonts w:ascii="Times New Roman" w:hAnsi="Times New Roman" w:cs="Times New Roman"/>
        </w:rPr>
      </w:pPr>
      <w:r w:rsidRPr="00CD411E">
        <w:rPr>
          <w:rFonts w:ascii="Times New Roman" w:hAnsi="Times New Roman" w:cs="Times New Roman"/>
        </w:rPr>
        <w:t xml:space="preserve">Promote age friendly </w:t>
      </w:r>
      <w:r w:rsidR="001A71E4" w:rsidRPr="00CD411E">
        <w:rPr>
          <w:rFonts w:ascii="Times New Roman" w:hAnsi="Times New Roman" w:cs="Times New Roman"/>
        </w:rPr>
        <w:t xml:space="preserve">international cooperation to ensure </w:t>
      </w:r>
      <w:r w:rsidRPr="00CD411E">
        <w:rPr>
          <w:rFonts w:ascii="Times New Roman" w:hAnsi="Times New Roman" w:cs="Times New Roman"/>
        </w:rPr>
        <w:t xml:space="preserve">issues of age and </w:t>
      </w:r>
      <w:r w:rsidR="001A71E4" w:rsidRPr="00CD411E">
        <w:rPr>
          <w:rFonts w:ascii="Times New Roman" w:hAnsi="Times New Roman" w:cs="Times New Roman"/>
        </w:rPr>
        <w:t xml:space="preserve">older persons are </w:t>
      </w:r>
      <w:r w:rsidRPr="00CD411E">
        <w:rPr>
          <w:rFonts w:ascii="Times New Roman" w:hAnsi="Times New Roman" w:cs="Times New Roman"/>
        </w:rPr>
        <w:t xml:space="preserve">fully </w:t>
      </w:r>
      <w:r w:rsidR="001A71E4" w:rsidRPr="00CD411E">
        <w:rPr>
          <w:rFonts w:ascii="Times New Roman" w:hAnsi="Times New Roman" w:cs="Times New Roman"/>
        </w:rPr>
        <w:t xml:space="preserve">included </w:t>
      </w:r>
      <w:r w:rsidRPr="00CD411E">
        <w:rPr>
          <w:rFonts w:ascii="Times New Roman" w:hAnsi="Times New Roman" w:cs="Times New Roman"/>
        </w:rPr>
        <w:t xml:space="preserve">and visible </w:t>
      </w:r>
      <w:r w:rsidR="001A71E4" w:rsidRPr="00CD411E">
        <w:rPr>
          <w:rFonts w:ascii="Times New Roman" w:hAnsi="Times New Roman" w:cs="Times New Roman"/>
        </w:rPr>
        <w:t>in global policy processes and agreements.</w:t>
      </w:r>
    </w:p>
    <w:p w14:paraId="37A265F5" w14:textId="77777777" w:rsidR="001A71E4" w:rsidRPr="00CD411E" w:rsidRDefault="001A71E4" w:rsidP="00B4544C">
      <w:pPr>
        <w:pStyle w:val="ListParagraph"/>
        <w:spacing w:before="120" w:after="120" w:line="240" w:lineRule="auto"/>
        <w:ind w:left="0"/>
        <w:contextualSpacing w:val="0"/>
        <w:rPr>
          <w:rFonts w:ascii="Times New Roman" w:hAnsi="Times New Roman" w:cs="Times New Roman"/>
        </w:rPr>
      </w:pPr>
    </w:p>
    <w:p w14:paraId="3825BDBA" w14:textId="6C451D42" w:rsidR="001A71E4" w:rsidRPr="00CD411E" w:rsidRDefault="00FB05B3" w:rsidP="00FB05B3">
      <w:pPr>
        <w:rPr>
          <w:rFonts w:ascii="Times New Roman" w:hAnsi="Times New Roman" w:cs="Times New Roman"/>
        </w:rPr>
      </w:pPr>
      <w:r w:rsidRPr="00CD411E">
        <w:rPr>
          <w:rFonts w:ascii="Times New Roman" w:hAnsi="Times New Roman" w:cs="Times New Roman"/>
        </w:rPr>
        <w:t>39. R</w:t>
      </w:r>
      <w:r w:rsidR="001A71E4" w:rsidRPr="00CD411E">
        <w:rPr>
          <w:rFonts w:ascii="Times New Roman" w:hAnsi="Times New Roman" w:cs="Times New Roman"/>
        </w:rPr>
        <w:t xml:space="preserve">eliable </w:t>
      </w:r>
      <w:r w:rsidRPr="00CD411E">
        <w:rPr>
          <w:rFonts w:ascii="Times New Roman" w:hAnsi="Times New Roman" w:cs="Times New Roman"/>
        </w:rPr>
        <w:t xml:space="preserve">age </w:t>
      </w:r>
      <w:r w:rsidR="001A71E4" w:rsidRPr="00CD411E">
        <w:rPr>
          <w:rFonts w:ascii="Times New Roman" w:hAnsi="Times New Roman" w:cs="Times New Roman"/>
        </w:rPr>
        <w:t>data are essential for effective evidence-based policies that improve the lives of older persons. Yet older populations remain insufficiently visible in many national and global statistical systems.</w:t>
      </w:r>
    </w:p>
    <w:p w14:paraId="1AEC5DC4" w14:textId="66AC01EE" w:rsidR="001A71E4" w:rsidRPr="00CD411E" w:rsidRDefault="00FB05B3" w:rsidP="00FB05B3">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 xml:space="preserve">40. </w:t>
      </w:r>
      <w:r w:rsidR="001A71E4" w:rsidRPr="00CD411E">
        <w:rPr>
          <w:rFonts w:ascii="Times New Roman" w:hAnsi="Times New Roman" w:cs="Times New Roman"/>
        </w:rPr>
        <w:t xml:space="preserve">Target 17.18 calls for significantly increased availability of high-quality, timely, and reliable data disaggregated by age, gender, disability, and other characteristics. However, many statistical systems still lack sufficiently detailed information on older populations, particularly among those aged 70, 80, and above. This limits the ability of policymakers to assess inequalities, design targeted interventions, and monitor progress. These gaps are particularly significant in low- and middle-income countries, </w:t>
      </w:r>
      <w:r w:rsidR="00520746" w:rsidRPr="00CD411E">
        <w:rPr>
          <w:rFonts w:ascii="Times New Roman" w:hAnsi="Times New Roman" w:cs="Times New Roman"/>
        </w:rPr>
        <w:t>despite the increas</w:t>
      </w:r>
      <w:r w:rsidR="003B49D7" w:rsidRPr="00CD411E">
        <w:rPr>
          <w:rFonts w:ascii="Times New Roman" w:hAnsi="Times New Roman" w:cs="Times New Roman"/>
        </w:rPr>
        <w:t>ing numbers</w:t>
      </w:r>
      <w:r w:rsidR="00520746" w:rsidRPr="00CD411E">
        <w:rPr>
          <w:rFonts w:ascii="Times New Roman" w:hAnsi="Times New Roman" w:cs="Times New Roman"/>
        </w:rPr>
        <w:t xml:space="preserve"> of older persons there</w:t>
      </w:r>
      <w:r w:rsidR="003B49D7" w:rsidRPr="00CD411E">
        <w:rPr>
          <w:rFonts w:ascii="Times New Roman" w:hAnsi="Times New Roman" w:cs="Times New Roman"/>
        </w:rPr>
        <w:t>.  Lack</w:t>
      </w:r>
      <w:r w:rsidR="00520746" w:rsidRPr="00CD411E">
        <w:rPr>
          <w:rFonts w:ascii="Times New Roman" w:hAnsi="Times New Roman" w:cs="Times New Roman"/>
        </w:rPr>
        <w:t xml:space="preserve"> of statistical capacity and focus on youth can mean </w:t>
      </w:r>
      <w:r w:rsidR="001A71E4" w:rsidRPr="00CD411E">
        <w:rPr>
          <w:rFonts w:ascii="Times New Roman" w:hAnsi="Times New Roman" w:cs="Times New Roman"/>
        </w:rPr>
        <w:t>older populations are excluded from surveys or insufficiently represented</w:t>
      </w:r>
      <w:r w:rsidR="00520746" w:rsidRPr="00CD411E">
        <w:rPr>
          <w:rFonts w:ascii="Times New Roman" w:hAnsi="Times New Roman" w:cs="Times New Roman"/>
        </w:rPr>
        <w:t>. The</w:t>
      </w:r>
      <w:r w:rsidR="001A71E4" w:rsidRPr="00CD411E">
        <w:rPr>
          <w:rFonts w:ascii="Times New Roman" w:hAnsi="Times New Roman" w:cs="Times New Roman"/>
        </w:rPr>
        <w:t xml:space="preserve"> contributions of older persons—particularly older women and those with disabilities—</w:t>
      </w:r>
      <w:r w:rsidR="00520746" w:rsidRPr="00CD411E">
        <w:rPr>
          <w:rFonts w:ascii="Times New Roman" w:hAnsi="Times New Roman" w:cs="Times New Roman"/>
        </w:rPr>
        <w:t xml:space="preserve">to households and the care economy </w:t>
      </w:r>
      <w:r w:rsidR="001A71E4" w:rsidRPr="00CD411E">
        <w:rPr>
          <w:rFonts w:ascii="Times New Roman" w:hAnsi="Times New Roman" w:cs="Times New Roman"/>
        </w:rPr>
        <w:t>remain poorly documented.</w:t>
      </w:r>
    </w:p>
    <w:p w14:paraId="750697B2" w14:textId="0D193F19" w:rsidR="001A71E4" w:rsidRPr="00CD411E" w:rsidRDefault="00FB05B3" w:rsidP="00FB05B3">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 xml:space="preserve">41. </w:t>
      </w:r>
      <w:r w:rsidR="001A71E4" w:rsidRPr="00CD411E">
        <w:rPr>
          <w:rFonts w:ascii="Times New Roman" w:hAnsi="Times New Roman" w:cs="Times New Roman"/>
        </w:rPr>
        <w:t>Granular data can help identify disparities, inform policy design, and strengthen accountability.</w:t>
      </w:r>
      <w:r w:rsidR="001A71E4" w:rsidRPr="00CD411E">
        <w:rPr>
          <w:rFonts w:ascii="Times New Roman" w:hAnsi="Times New Roman" w:cs="Times New Roman"/>
          <w:strike/>
          <w:color w:val="EE0000"/>
        </w:rPr>
        <w:t xml:space="preserve"> </w:t>
      </w:r>
      <w:r w:rsidR="003B49D7" w:rsidRPr="00CD411E">
        <w:rPr>
          <w:rFonts w:ascii="Times New Roman" w:hAnsi="Times New Roman" w:cs="Times New Roman"/>
          <w:strike/>
          <w:color w:val="EE0000"/>
        </w:rPr>
        <w:t xml:space="preserve"> </w:t>
      </w:r>
      <w:r w:rsidR="001A71E4" w:rsidRPr="00CD411E">
        <w:rPr>
          <w:rFonts w:ascii="Times New Roman" w:hAnsi="Times New Roman" w:cs="Times New Roman"/>
        </w:rPr>
        <w:t>Qualitative and participatory approaches can provide valuable insights into the lived experiences of older persons. This includes strengthening the availability of data that capture intersecting inequalities related to age, gender, and disability, enabling more inclusive and targeted policy responses.</w:t>
      </w:r>
    </w:p>
    <w:p w14:paraId="1AA78E14" w14:textId="4F711435" w:rsidR="001A71E4" w:rsidRPr="00CD411E" w:rsidRDefault="00FB05B3" w:rsidP="00FB05B3">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 xml:space="preserve">42. </w:t>
      </w:r>
      <w:r w:rsidR="001A71E4" w:rsidRPr="00CD411E">
        <w:rPr>
          <w:rFonts w:ascii="Times New Roman" w:hAnsi="Times New Roman" w:cs="Times New Roman"/>
        </w:rPr>
        <w:t>International collaboration has played a central role in advancing ageing statistics. The work of the Titchfield City Group on Ageing and Age-Disaggregated Data, established under the United Nations Statistical Commission, has significantly improved the availability and comparability of ageing-related data. Building on this progress, and as its mandate concludes, it is essential to integrate ageing statistics into permanent UN statistical governance structures and mainstream them across social and demographic data systems</w:t>
      </w:r>
      <w:r w:rsidR="00520746" w:rsidRPr="00CD411E">
        <w:rPr>
          <w:rFonts w:ascii="Times New Roman" w:hAnsi="Times New Roman" w:cs="Times New Roman"/>
        </w:rPr>
        <w:t xml:space="preserve"> in all countries </w:t>
      </w:r>
      <w:r w:rsidR="001A71E4" w:rsidRPr="00CD411E">
        <w:rPr>
          <w:rStyle w:val="EndnoteReference"/>
          <w:rFonts w:ascii="Times New Roman" w:hAnsi="Times New Roman" w:cs="Times New Roman"/>
        </w:rPr>
        <w:endnoteReference w:id="10"/>
      </w:r>
      <w:r w:rsidR="001A71E4" w:rsidRPr="00CD411E">
        <w:rPr>
          <w:rFonts w:ascii="Times New Roman" w:hAnsi="Times New Roman" w:cs="Times New Roman"/>
        </w:rPr>
        <w:t>.</w:t>
      </w:r>
    </w:p>
    <w:p w14:paraId="45BCC328" w14:textId="4D6FB2DC" w:rsidR="001A71E4" w:rsidRPr="00CD411E" w:rsidRDefault="00FB05B3" w:rsidP="00FB05B3">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t xml:space="preserve">43. </w:t>
      </w:r>
      <w:r w:rsidR="001A71E4" w:rsidRPr="00CD411E">
        <w:rPr>
          <w:rFonts w:ascii="Times New Roman" w:hAnsi="Times New Roman" w:cs="Times New Roman"/>
        </w:rPr>
        <w:t xml:space="preserve">Strengthening national statistical capacity is equally important. </w:t>
      </w:r>
      <w:r w:rsidR="00520746" w:rsidRPr="00CD411E">
        <w:rPr>
          <w:rFonts w:ascii="Times New Roman" w:hAnsi="Times New Roman" w:cs="Times New Roman"/>
        </w:rPr>
        <w:t>Th</w:t>
      </w:r>
      <w:r w:rsidR="00CE2819" w:rsidRPr="00CD411E">
        <w:rPr>
          <w:rFonts w:ascii="Times New Roman" w:hAnsi="Times New Roman" w:cs="Times New Roman"/>
        </w:rPr>
        <w:t>e</w:t>
      </w:r>
      <w:r w:rsidR="00520746" w:rsidRPr="00CD411E">
        <w:rPr>
          <w:rFonts w:ascii="Times New Roman" w:hAnsi="Times New Roman" w:cs="Times New Roman"/>
        </w:rPr>
        <w:t xml:space="preserve"> Multi Indicator Statistical Survey of Malawi/UNDESA (MISA)</w:t>
      </w:r>
      <w:r w:rsidR="00CE2819" w:rsidRPr="00CD411E">
        <w:rPr>
          <w:rStyle w:val="FootnoteReference"/>
          <w:rFonts w:ascii="Times New Roman" w:hAnsi="Times New Roman" w:cs="Times New Roman"/>
        </w:rPr>
        <w:footnoteReference w:id="1"/>
      </w:r>
      <w:r w:rsidR="00520746" w:rsidRPr="00CD411E">
        <w:rPr>
          <w:rFonts w:ascii="Times New Roman" w:hAnsi="Times New Roman" w:cs="Times New Roman"/>
        </w:rPr>
        <w:t>demonstrated how i</w:t>
      </w:r>
      <w:r w:rsidR="001A71E4" w:rsidRPr="00CD411E">
        <w:rPr>
          <w:rFonts w:ascii="Times New Roman" w:hAnsi="Times New Roman" w:cs="Times New Roman"/>
        </w:rPr>
        <w:t xml:space="preserve">nvestment in statistical systems, technical expertise, and data infrastructure </w:t>
      </w:r>
      <w:r w:rsidR="00520746" w:rsidRPr="00CD411E">
        <w:rPr>
          <w:rFonts w:ascii="Times New Roman" w:hAnsi="Times New Roman" w:cs="Times New Roman"/>
        </w:rPr>
        <w:t xml:space="preserve">is </w:t>
      </w:r>
      <w:r w:rsidR="001A71E4" w:rsidRPr="00CD411E">
        <w:rPr>
          <w:rFonts w:ascii="Times New Roman" w:hAnsi="Times New Roman" w:cs="Times New Roman"/>
        </w:rPr>
        <w:t>necessary to ensure the production of high-quality, timely, and disaggregated data reflecting demographic realities.</w:t>
      </w:r>
    </w:p>
    <w:p w14:paraId="545861E7" w14:textId="13AFFA9B" w:rsidR="006A0D06" w:rsidRPr="00CD411E" w:rsidRDefault="00FB05B3" w:rsidP="00FB05B3">
      <w:pPr>
        <w:pStyle w:val="ListParagraph"/>
        <w:spacing w:before="120" w:after="120" w:line="240" w:lineRule="auto"/>
        <w:ind w:left="0"/>
        <w:contextualSpacing w:val="0"/>
        <w:rPr>
          <w:rFonts w:ascii="Times New Roman" w:hAnsi="Times New Roman" w:cs="Times New Roman"/>
        </w:rPr>
      </w:pPr>
      <w:r w:rsidRPr="00CD411E">
        <w:rPr>
          <w:rFonts w:ascii="Times New Roman" w:hAnsi="Times New Roman" w:cs="Times New Roman"/>
        </w:rPr>
        <w:lastRenderedPageBreak/>
        <w:t xml:space="preserve">44. </w:t>
      </w:r>
      <w:r w:rsidR="001A71E4" w:rsidRPr="00CD411E">
        <w:rPr>
          <w:rFonts w:ascii="Times New Roman" w:hAnsi="Times New Roman" w:cs="Times New Roman"/>
        </w:rPr>
        <w:t xml:space="preserve">These efforts are closely linked to broader global initiatives aimed at strengthening data ecosystems for sustainable development. </w:t>
      </w:r>
      <w:r w:rsidR="00CE2819" w:rsidRPr="00CD411E">
        <w:rPr>
          <w:rFonts w:ascii="Times New Roman" w:hAnsi="Times New Roman" w:cs="Times New Roman"/>
        </w:rPr>
        <w:t>T</w:t>
      </w:r>
      <w:r w:rsidR="001A71E4" w:rsidRPr="00CD411E">
        <w:rPr>
          <w:rFonts w:ascii="Times New Roman" w:hAnsi="Times New Roman" w:cs="Times New Roman"/>
        </w:rPr>
        <w:t>he “Road to Riyadh” process leading to the Sixth United Nations World Data Forum provides a key opportunity to advance dialogue on ageing and data</w:t>
      </w:r>
      <w:r w:rsidR="001A71E4" w:rsidRPr="00CD411E">
        <w:rPr>
          <w:rStyle w:val="EndnoteReference"/>
          <w:rFonts w:ascii="Times New Roman" w:hAnsi="Times New Roman" w:cs="Times New Roman"/>
        </w:rPr>
        <w:endnoteReference w:id="11"/>
      </w:r>
      <w:r w:rsidR="001A71E4" w:rsidRPr="00CD411E">
        <w:rPr>
          <w:rFonts w:ascii="Times New Roman" w:hAnsi="Times New Roman" w:cs="Times New Roman"/>
        </w:rPr>
        <w:t>.</w:t>
      </w:r>
      <w:r w:rsidR="004F22DC" w:rsidRPr="00CD411E">
        <w:rPr>
          <w:rFonts w:ascii="Times New Roman" w:hAnsi="Times New Roman" w:cs="Times New Roman"/>
        </w:rPr>
        <w:t xml:space="preserve"> </w:t>
      </w:r>
      <w:r w:rsidR="006A0D06" w:rsidRPr="00CD411E">
        <w:rPr>
          <w:rFonts w:ascii="Times New Roman" w:hAnsi="Times New Roman" w:cs="Times New Roman"/>
        </w:rPr>
        <w:t>Ensuring that older persons are visible in data systems is essential for translating the commitment to leave no one behind into measurable and accountable</w:t>
      </w:r>
      <w:r w:rsidR="00CE2819" w:rsidRPr="00CD411E">
        <w:rPr>
          <w:rFonts w:ascii="Times New Roman" w:hAnsi="Times New Roman" w:cs="Times New Roman"/>
        </w:rPr>
        <w:t xml:space="preserve"> SDG and Agenda </w:t>
      </w:r>
      <w:r w:rsidR="000223D6" w:rsidRPr="00CD411E">
        <w:rPr>
          <w:rFonts w:ascii="Times New Roman" w:hAnsi="Times New Roman" w:cs="Times New Roman"/>
        </w:rPr>
        <w:t>2030 progress</w:t>
      </w:r>
      <w:r w:rsidR="006A0D06" w:rsidRPr="00CD411E">
        <w:rPr>
          <w:rFonts w:ascii="Times New Roman" w:hAnsi="Times New Roman" w:cs="Times New Roman"/>
        </w:rPr>
        <w:t>.</w:t>
      </w:r>
    </w:p>
    <w:p w14:paraId="64BDD5DB" w14:textId="77777777" w:rsidR="00535DD1" w:rsidRPr="00CD411E" w:rsidRDefault="00535DD1" w:rsidP="00535DD1">
      <w:pPr>
        <w:pStyle w:val="ListParagraph"/>
        <w:spacing w:before="120" w:after="120" w:line="240" w:lineRule="auto"/>
        <w:ind w:left="0"/>
        <w:contextualSpacing w:val="0"/>
        <w:rPr>
          <w:rFonts w:ascii="Times New Roman" w:hAnsi="Times New Roman" w:cs="Times New Roman"/>
        </w:rPr>
      </w:pPr>
    </w:p>
    <w:p w14:paraId="05A63F03" w14:textId="77777777" w:rsidR="00535DD1" w:rsidRPr="00CD411E" w:rsidRDefault="00535DD1" w:rsidP="00535DD1">
      <w:pPr>
        <w:rPr>
          <w:rFonts w:ascii="Times New Roman" w:hAnsi="Times New Roman" w:cs="Times New Roman"/>
          <w:b/>
          <w:bCs/>
        </w:rPr>
      </w:pPr>
      <w:r w:rsidRPr="00CD411E">
        <w:rPr>
          <w:rFonts w:ascii="Times New Roman" w:hAnsi="Times New Roman" w:cs="Times New Roman"/>
          <w:b/>
          <w:bCs/>
        </w:rPr>
        <w:t>Recommendations</w:t>
      </w:r>
    </w:p>
    <w:p w14:paraId="55CC1C5F" w14:textId="77777777" w:rsidR="00535DD1" w:rsidRPr="00CD411E" w:rsidRDefault="00535DD1" w:rsidP="00535DD1">
      <w:pPr>
        <w:pStyle w:val="ListParagraph"/>
        <w:numPr>
          <w:ilvl w:val="0"/>
          <w:numId w:val="19"/>
        </w:numPr>
        <w:rPr>
          <w:rFonts w:ascii="Times New Roman" w:hAnsi="Times New Roman" w:cs="Times New Roman"/>
        </w:rPr>
      </w:pPr>
      <w:r w:rsidRPr="00CD411E">
        <w:rPr>
          <w:rFonts w:ascii="Times New Roman" w:hAnsi="Times New Roman" w:cs="Times New Roman"/>
        </w:rPr>
        <w:t>Strengthen national statistical systems to produce reliable age-disaggregated data.</w:t>
      </w:r>
    </w:p>
    <w:p w14:paraId="126950E4" w14:textId="77777777" w:rsidR="00535DD1" w:rsidRPr="00CD411E" w:rsidRDefault="00535DD1" w:rsidP="00535DD1">
      <w:pPr>
        <w:pStyle w:val="ListParagraph"/>
        <w:numPr>
          <w:ilvl w:val="0"/>
          <w:numId w:val="19"/>
        </w:numPr>
        <w:rPr>
          <w:rFonts w:ascii="Times New Roman" w:hAnsi="Times New Roman" w:cs="Times New Roman"/>
        </w:rPr>
      </w:pPr>
      <w:r w:rsidRPr="00CD411E">
        <w:rPr>
          <w:rFonts w:ascii="Times New Roman" w:hAnsi="Times New Roman" w:cs="Times New Roman"/>
        </w:rPr>
        <w:t>Integrate ageing statistics into SDG monitoring frameworks and UN statistical governance structures.</w:t>
      </w:r>
    </w:p>
    <w:p w14:paraId="6D50EF47" w14:textId="77777777" w:rsidR="00535DD1" w:rsidRPr="00CD411E" w:rsidRDefault="00535DD1" w:rsidP="00535DD1">
      <w:pPr>
        <w:pStyle w:val="ListParagraph"/>
        <w:numPr>
          <w:ilvl w:val="0"/>
          <w:numId w:val="19"/>
        </w:numPr>
        <w:rPr>
          <w:rFonts w:ascii="Times New Roman" w:hAnsi="Times New Roman" w:cs="Times New Roman"/>
        </w:rPr>
      </w:pPr>
      <w:r w:rsidRPr="00CD411E">
        <w:rPr>
          <w:rFonts w:ascii="Times New Roman" w:hAnsi="Times New Roman" w:cs="Times New Roman"/>
        </w:rPr>
        <w:t>Promote innovation in data collection, including qualitative and participatory approaches.</w:t>
      </w:r>
    </w:p>
    <w:p w14:paraId="54F85653" w14:textId="77777777" w:rsidR="00535DD1" w:rsidRPr="00CD411E" w:rsidRDefault="00535DD1" w:rsidP="00535DD1">
      <w:pPr>
        <w:pStyle w:val="ListParagraph"/>
        <w:numPr>
          <w:ilvl w:val="0"/>
          <w:numId w:val="19"/>
        </w:numPr>
        <w:rPr>
          <w:rFonts w:ascii="Times New Roman" w:hAnsi="Times New Roman" w:cs="Times New Roman"/>
        </w:rPr>
      </w:pPr>
      <w:r w:rsidRPr="00CD411E">
        <w:rPr>
          <w:rFonts w:ascii="Times New Roman" w:hAnsi="Times New Roman" w:cs="Times New Roman"/>
        </w:rPr>
        <w:t>Foster international collaboration on ageing statistics, building on initiatives such as the Titchfield City Group.</w:t>
      </w:r>
    </w:p>
    <w:p w14:paraId="56149EC5" w14:textId="77777777" w:rsidR="00535DD1" w:rsidRPr="00CD411E" w:rsidRDefault="00535DD1" w:rsidP="00535DD1">
      <w:pPr>
        <w:pStyle w:val="ListParagraph"/>
        <w:numPr>
          <w:ilvl w:val="0"/>
          <w:numId w:val="19"/>
        </w:numPr>
        <w:rPr>
          <w:rFonts w:ascii="Times New Roman" w:hAnsi="Times New Roman" w:cs="Times New Roman"/>
        </w:rPr>
      </w:pPr>
      <w:r w:rsidRPr="00CD411E">
        <w:rPr>
          <w:rFonts w:ascii="Times New Roman" w:hAnsi="Times New Roman" w:cs="Times New Roman"/>
        </w:rPr>
        <w:t>Support global dialogue on data and ageing, including through the United Nations World Data Forum and the Road to Riyadh process.</w:t>
      </w:r>
    </w:p>
    <w:p w14:paraId="3DB54B76" w14:textId="77777777" w:rsidR="00535DD1" w:rsidRPr="00CD411E" w:rsidRDefault="00535DD1" w:rsidP="00535DD1">
      <w:pPr>
        <w:pStyle w:val="ListParagraph"/>
        <w:spacing w:before="120" w:after="120" w:line="240" w:lineRule="auto"/>
        <w:ind w:left="0"/>
        <w:contextualSpacing w:val="0"/>
        <w:rPr>
          <w:rFonts w:ascii="Times New Roman" w:hAnsi="Times New Roman" w:cs="Times New Roman"/>
        </w:rPr>
      </w:pPr>
    </w:p>
    <w:p w14:paraId="5ADB29CB" w14:textId="62D48974" w:rsidR="00617F92" w:rsidRPr="00CD411E" w:rsidRDefault="006F79E5">
      <w:pPr>
        <w:rPr>
          <w:rFonts w:ascii="Times New Roman" w:hAnsi="Times New Roman" w:cs="Times New Roman"/>
        </w:rPr>
      </w:pPr>
      <w:r>
        <w:pict w14:anchorId="504419BA">
          <v:rect id="Horizontal Line 8" o:spid="_x0000_s1032"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FE7FAB1" w14:textId="6F5E9F54" w:rsidR="00617F92" w:rsidRPr="00CD411E" w:rsidRDefault="00617F92" w:rsidP="009D07CD">
      <w:pPr>
        <w:rPr>
          <w:rFonts w:ascii="Times New Roman" w:hAnsi="Times New Roman" w:cs="Times New Roman"/>
        </w:rPr>
      </w:pPr>
      <w:r w:rsidRPr="00CD411E">
        <w:rPr>
          <w:rFonts w:ascii="Times New Roman" w:hAnsi="Times New Roman" w:cs="Times New Roman"/>
          <w:b/>
          <w:bCs/>
        </w:rPr>
        <w:t xml:space="preserve">Annex — Examples of Partnerships Supporting Older Persons. </w:t>
      </w:r>
      <w:r w:rsidRPr="00CD411E">
        <w:rPr>
          <w:rFonts w:ascii="Times New Roman" w:hAnsi="Times New Roman" w:cs="Times New Roman"/>
          <w:b/>
          <w:bCs/>
          <w:i/>
          <w:iCs/>
        </w:rPr>
        <w:t>(Africa and the MENA Region)</w:t>
      </w:r>
      <w:r w:rsidR="009D07CD" w:rsidRPr="00CD411E">
        <w:rPr>
          <w:rFonts w:ascii="Times New Roman" w:hAnsi="Times New Roman" w:cs="Times New Roman"/>
          <w:b/>
          <w:bCs/>
          <w:i/>
          <w:iCs/>
        </w:rPr>
        <w:t xml:space="preserve">. </w:t>
      </w:r>
      <w:r w:rsidRPr="00CD411E">
        <w:rPr>
          <w:rFonts w:ascii="Times New Roman" w:hAnsi="Times New Roman" w:cs="Times New Roman"/>
        </w:rPr>
        <w:t>These cases demonstrate how collaborative approaches can strengthen social protection systems, improve access to services, and advance sustainable development in ageing societies.</w:t>
      </w:r>
    </w:p>
    <w:p w14:paraId="5BDF1A7D" w14:textId="77777777" w:rsidR="00D55317" w:rsidRPr="00CD411E" w:rsidRDefault="006F79E5" w:rsidP="00D55317">
      <w:pPr>
        <w:pStyle w:val="ListParagraph"/>
        <w:spacing w:before="120" w:after="120"/>
        <w:ind w:left="0"/>
        <w:rPr>
          <w:rFonts w:ascii="Times New Roman" w:hAnsi="Times New Roman" w:cs="Times New Roman"/>
        </w:rPr>
      </w:pPr>
      <w:r>
        <w:pict w14:anchorId="4F4BA98B">
          <v:rect id="Horizontal Line 9" o:spid="_x0000_s1031"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9082466" w14:textId="77777777" w:rsidR="00D55317" w:rsidRPr="00CD411E" w:rsidRDefault="00D55317" w:rsidP="00D55317">
      <w:pPr>
        <w:pStyle w:val="ListParagraph"/>
        <w:spacing w:before="120" w:after="120"/>
        <w:ind w:left="0"/>
        <w:rPr>
          <w:rFonts w:ascii="Times New Roman" w:hAnsi="Times New Roman" w:cs="Times New Roman"/>
          <w:b/>
          <w:bCs/>
        </w:rPr>
      </w:pPr>
      <w:r w:rsidRPr="00CD411E">
        <w:rPr>
          <w:rFonts w:ascii="Times New Roman" w:hAnsi="Times New Roman" w:cs="Times New Roman"/>
          <w:b/>
          <w:bCs/>
        </w:rPr>
        <w:t>1. Rwanda — Integrated Social Protection and Health Coverage</w:t>
      </w:r>
    </w:p>
    <w:p w14:paraId="6869219D" w14:textId="77777777" w:rsidR="00D55317" w:rsidRPr="00CD411E" w:rsidRDefault="00D55317" w:rsidP="00D55317">
      <w:pPr>
        <w:pStyle w:val="ListParagraph"/>
        <w:spacing w:before="120" w:after="120"/>
        <w:ind w:left="0"/>
        <w:rPr>
          <w:rFonts w:ascii="Times New Roman" w:hAnsi="Times New Roman" w:cs="Times New Roman"/>
        </w:rPr>
      </w:pPr>
      <w:r w:rsidRPr="00CD411E">
        <w:rPr>
          <w:rFonts w:ascii="Times New Roman" w:hAnsi="Times New Roman" w:cs="Times New Roman"/>
        </w:rPr>
        <w:t>Rwanda has expanded access to health care and income security through the Mutuelles de Santé community-based health insurance system and the Vision 2020 Umurenge Programme (VUP). These initiatives combine national policy leadership with support from international development partners and United Nations agencies.</w:t>
      </w:r>
    </w:p>
    <w:p w14:paraId="43808597" w14:textId="77777777" w:rsidR="009D4C17" w:rsidRPr="00CD411E" w:rsidRDefault="00D55317" w:rsidP="00D55317">
      <w:pPr>
        <w:pStyle w:val="ListParagraph"/>
        <w:spacing w:before="120" w:after="120"/>
        <w:ind w:left="0"/>
        <w:rPr>
          <w:rFonts w:ascii="Times New Roman" w:hAnsi="Times New Roman" w:cs="Times New Roman"/>
          <w:i/>
          <w:iCs/>
        </w:rPr>
      </w:pPr>
      <w:r w:rsidRPr="00CD411E">
        <w:rPr>
          <w:rFonts w:ascii="Times New Roman" w:hAnsi="Times New Roman" w:cs="Times New Roman"/>
          <w:i/>
          <w:iCs/>
        </w:rPr>
        <w:t xml:space="preserve">Reference: </w:t>
      </w:r>
    </w:p>
    <w:p w14:paraId="243B6598" w14:textId="648AFFB4" w:rsidR="00D55317" w:rsidRPr="00CD411E" w:rsidRDefault="00D55317" w:rsidP="00D55317">
      <w:pPr>
        <w:pStyle w:val="ListParagraph"/>
        <w:spacing w:before="120" w:after="120"/>
        <w:ind w:left="0"/>
        <w:rPr>
          <w:rFonts w:ascii="Times New Roman" w:hAnsi="Times New Roman" w:cs="Times New Roman"/>
          <w:i/>
          <w:iCs/>
        </w:rPr>
      </w:pPr>
      <w:r w:rsidRPr="00CD411E">
        <w:rPr>
          <w:rFonts w:ascii="Times New Roman" w:hAnsi="Times New Roman" w:cs="Times New Roman"/>
          <w:i/>
          <w:iCs/>
        </w:rPr>
        <w:t xml:space="preserve">Government of Rwanda. Vision 2020 Umurenge Programme (VUP). </w:t>
      </w:r>
      <w:hyperlink r:id="rId8" w:tgtFrame="_new" w:history="1">
        <w:r w:rsidRPr="00CD411E">
          <w:rPr>
            <w:rStyle w:val="Hyperlink"/>
            <w:rFonts w:ascii="Times New Roman" w:hAnsi="Times New Roman" w:cs="Times New Roman"/>
            <w:i/>
            <w:iCs/>
          </w:rPr>
          <w:t>https://www.loda.gov.rw</w:t>
        </w:r>
      </w:hyperlink>
      <w:r w:rsidR="00117AA4" w:rsidRPr="00CD411E">
        <w:rPr>
          <w:rFonts w:ascii="Times New Roman" w:hAnsi="Times New Roman" w:cs="Times New Roman"/>
          <w:i/>
          <w:iCs/>
        </w:rPr>
        <w:t xml:space="preserve">; </w:t>
      </w:r>
      <w:r w:rsidRPr="00CD411E">
        <w:rPr>
          <w:rFonts w:ascii="Times New Roman" w:hAnsi="Times New Roman" w:cs="Times New Roman"/>
          <w:i/>
          <w:iCs/>
        </w:rPr>
        <w:t xml:space="preserve">World Bank. Social Protection in Rwanda. </w:t>
      </w:r>
      <w:hyperlink r:id="rId9" w:tgtFrame="_new" w:history="1">
        <w:r w:rsidRPr="00CD411E">
          <w:rPr>
            <w:rStyle w:val="Hyperlink"/>
            <w:rFonts w:ascii="Times New Roman" w:hAnsi="Times New Roman" w:cs="Times New Roman"/>
            <w:i/>
            <w:iCs/>
          </w:rPr>
          <w:t>https://www.worldbank.org</w:t>
        </w:r>
      </w:hyperlink>
    </w:p>
    <w:p w14:paraId="15B53EBB" w14:textId="77777777" w:rsidR="00D55317" w:rsidRPr="00CD411E" w:rsidRDefault="006F79E5" w:rsidP="00D55317">
      <w:pPr>
        <w:pStyle w:val="ListParagraph"/>
        <w:spacing w:before="120" w:after="120"/>
        <w:ind w:left="0"/>
        <w:rPr>
          <w:rFonts w:ascii="Times New Roman" w:hAnsi="Times New Roman" w:cs="Times New Roman"/>
        </w:rPr>
      </w:pPr>
      <w:r>
        <w:pict w14:anchorId="16AB896C">
          <v:rect id="Horizontal Line 10" o:spid="_x0000_s1030"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5343C7C" w14:textId="77777777" w:rsidR="00D55317" w:rsidRPr="00CD411E" w:rsidRDefault="00D55317" w:rsidP="00D55317">
      <w:pPr>
        <w:pStyle w:val="ListParagraph"/>
        <w:spacing w:before="120" w:after="120"/>
        <w:ind w:left="0"/>
        <w:rPr>
          <w:rFonts w:ascii="Times New Roman" w:hAnsi="Times New Roman" w:cs="Times New Roman"/>
          <w:b/>
          <w:bCs/>
        </w:rPr>
      </w:pPr>
      <w:r w:rsidRPr="00CD411E">
        <w:rPr>
          <w:rFonts w:ascii="Times New Roman" w:hAnsi="Times New Roman" w:cs="Times New Roman"/>
          <w:b/>
          <w:bCs/>
        </w:rPr>
        <w:t>2. Kenya — Older Persons Cash Transfer Programme</w:t>
      </w:r>
    </w:p>
    <w:p w14:paraId="200155DD" w14:textId="77777777" w:rsidR="00D55317" w:rsidRPr="00CD411E" w:rsidRDefault="00D55317" w:rsidP="00D55317">
      <w:pPr>
        <w:pStyle w:val="ListParagraph"/>
        <w:spacing w:before="120" w:after="120"/>
        <w:ind w:left="0"/>
        <w:rPr>
          <w:rFonts w:ascii="Times New Roman" w:hAnsi="Times New Roman" w:cs="Times New Roman"/>
        </w:rPr>
      </w:pPr>
      <w:r w:rsidRPr="00CD411E">
        <w:rPr>
          <w:rFonts w:ascii="Times New Roman" w:hAnsi="Times New Roman" w:cs="Times New Roman"/>
        </w:rPr>
        <w:t>Kenya operates one of Africa’s most significant social pension programmes through the Older Persons Cash Transfer Programme (OPCT), which provides regular income support to older persons living in poverty.</w:t>
      </w:r>
    </w:p>
    <w:p w14:paraId="68888A0E" w14:textId="64EE88F1" w:rsidR="00EF5814" w:rsidRPr="00CD411E" w:rsidRDefault="00D55317" w:rsidP="00D55317">
      <w:pPr>
        <w:pStyle w:val="ListParagraph"/>
        <w:spacing w:before="120" w:after="120"/>
        <w:ind w:left="0"/>
        <w:rPr>
          <w:rFonts w:ascii="Times New Roman" w:hAnsi="Times New Roman" w:cs="Times New Roman"/>
          <w:i/>
          <w:iCs/>
        </w:rPr>
      </w:pPr>
      <w:r w:rsidRPr="00CD411E">
        <w:rPr>
          <w:rFonts w:ascii="Times New Roman" w:hAnsi="Times New Roman" w:cs="Times New Roman"/>
          <w:i/>
          <w:iCs/>
        </w:rPr>
        <w:t>Reference:</w:t>
      </w:r>
    </w:p>
    <w:p w14:paraId="76C70634" w14:textId="77777777" w:rsidR="00EF5814" w:rsidRPr="00CD411E" w:rsidRDefault="00D55317" w:rsidP="00D55317">
      <w:pPr>
        <w:pStyle w:val="ListParagraph"/>
        <w:spacing w:before="120" w:after="120"/>
        <w:ind w:left="0"/>
        <w:rPr>
          <w:rFonts w:ascii="Times New Roman" w:hAnsi="Times New Roman" w:cs="Times New Roman"/>
          <w:i/>
          <w:iCs/>
        </w:rPr>
      </w:pPr>
      <w:r w:rsidRPr="00CD411E">
        <w:rPr>
          <w:rFonts w:ascii="Times New Roman" w:hAnsi="Times New Roman" w:cs="Times New Roman"/>
          <w:i/>
          <w:iCs/>
        </w:rPr>
        <w:t xml:space="preserve">Government of Kenya. Older Persons Cash Transfer Programme. </w:t>
      </w:r>
      <w:hyperlink r:id="rId10" w:tgtFrame="_new" w:history="1">
        <w:r w:rsidRPr="00CD411E">
          <w:rPr>
            <w:rStyle w:val="Hyperlink"/>
            <w:rFonts w:ascii="Times New Roman" w:hAnsi="Times New Roman" w:cs="Times New Roman"/>
            <w:i/>
            <w:iCs/>
          </w:rPr>
          <w:t>https://www.socialprotection.go.ke</w:t>
        </w:r>
      </w:hyperlink>
    </w:p>
    <w:p w14:paraId="6E47B994" w14:textId="4B7230CD" w:rsidR="00D55317" w:rsidRPr="00CD411E" w:rsidRDefault="00D55317" w:rsidP="00D55317">
      <w:pPr>
        <w:pStyle w:val="ListParagraph"/>
        <w:spacing w:before="120" w:after="120"/>
        <w:ind w:left="0"/>
        <w:rPr>
          <w:rFonts w:ascii="Times New Roman" w:hAnsi="Times New Roman" w:cs="Times New Roman"/>
          <w:i/>
          <w:iCs/>
        </w:rPr>
      </w:pPr>
      <w:r w:rsidRPr="00CD411E">
        <w:rPr>
          <w:rFonts w:ascii="Times New Roman" w:hAnsi="Times New Roman" w:cs="Times New Roman"/>
          <w:i/>
          <w:iCs/>
        </w:rPr>
        <w:lastRenderedPageBreak/>
        <w:t xml:space="preserve">HelpAge International. Social protection and income security for older persons. </w:t>
      </w:r>
      <w:hyperlink r:id="rId11" w:tgtFrame="_new" w:history="1">
        <w:r w:rsidRPr="00CD411E">
          <w:rPr>
            <w:rStyle w:val="Hyperlink"/>
            <w:rFonts w:ascii="Times New Roman" w:hAnsi="Times New Roman" w:cs="Times New Roman"/>
            <w:i/>
            <w:iCs/>
          </w:rPr>
          <w:t>https://www.helpage.org</w:t>
        </w:r>
      </w:hyperlink>
    </w:p>
    <w:p w14:paraId="50A748BE" w14:textId="77777777" w:rsidR="00D55317" w:rsidRPr="00CD411E" w:rsidRDefault="006F79E5" w:rsidP="00D55317">
      <w:pPr>
        <w:pStyle w:val="ListParagraph"/>
        <w:spacing w:before="120" w:after="120"/>
        <w:ind w:left="0"/>
        <w:rPr>
          <w:rFonts w:ascii="Times New Roman" w:hAnsi="Times New Roman" w:cs="Times New Roman"/>
        </w:rPr>
      </w:pPr>
      <w:r>
        <w:pict w14:anchorId="55C4E3FA">
          <v:rect id="Horizontal Line 11" o:spid="_x0000_s1029"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C9E831B" w14:textId="77777777" w:rsidR="00D55317" w:rsidRPr="00CD411E" w:rsidRDefault="00D55317" w:rsidP="00D55317">
      <w:pPr>
        <w:pStyle w:val="ListParagraph"/>
        <w:spacing w:before="120" w:after="120"/>
        <w:ind w:left="0"/>
        <w:rPr>
          <w:rFonts w:ascii="Times New Roman" w:hAnsi="Times New Roman" w:cs="Times New Roman"/>
          <w:b/>
          <w:bCs/>
        </w:rPr>
      </w:pPr>
      <w:r w:rsidRPr="00CD411E">
        <w:rPr>
          <w:rFonts w:ascii="Times New Roman" w:hAnsi="Times New Roman" w:cs="Times New Roman"/>
          <w:b/>
          <w:bCs/>
        </w:rPr>
        <w:t>3. South Africa — Older Persons Act</w:t>
      </w:r>
    </w:p>
    <w:p w14:paraId="281873BC" w14:textId="77777777" w:rsidR="00D55317" w:rsidRPr="00CD411E" w:rsidRDefault="00D55317" w:rsidP="00D55317">
      <w:pPr>
        <w:pStyle w:val="ListParagraph"/>
        <w:spacing w:before="120" w:after="120"/>
        <w:ind w:left="0"/>
        <w:rPr>
          <w:rFonts w:ascii="Times New Roman" w:hAnsi="Times New Roman" w:cs="Times New Roman"/>
        </w:rPr>
      </w:pPr>
      <w:r w:rsidRPr="00CD411E">
        <w:rPr>
          <w:rFonts w:ascii="Times New Roman" w:hAnsi="Times New Roman" w:cs="Times New Roman"/>
        </w:rPr>
        <w:t>South Africa’s Older Persons Act (2006) provides a comprehensive legislative framework protecting the rights and well-being of older persons.</w:t>
      </w:r>
    </w:p>
    <w:p w14:paraId="33063E09" w14:textId="2E086DDA" w:rsidR="00EF5814" w:rsidRPr="00CD411E" w:rsidRDefault="00D55317" w:rsidP="00D55317">
      <w:pPr>
        <w:pStyle w:val="ListParagraph"/>
        <w:spacing w:before="120" w:after="120"/>
        <w:ind w:left="0"/>
        <w:rPr>
          <w:rFonts w:ascii="Times New Roman" w:hAnsi="Times New Roman" w:cs="Times New Roman"/>
        </w:rPr>
      </w:pPr>
      <w:r w:rsidRPr="00CD411E">
        <w:rPr>
          <w:rFonts w:ascii="Times New Roman" w:hAnsi="Times New Roman" w:cs="Times New Roman"/>
        </w:rPr>
        <w:t>Reference:</w:t>
      </w:r>
      <w:r w:rsidR="00912E1C" w:rsidRPr="00CD411E">
        <w:rPr>
          <w:rFonts w:ascii="Times New Roman" w:hAnsi="Times New Roman" w:cs="Times New Roman"/>
        </w:rPr>
        <w:t xml:space="preserve"> </w:t>
      </w:r>
    </w:p>
    <w:p w14:paraId="4D1CAD5E" w14:textId="2EB00D98" w:rsidR="00D55317" w:rsidRPr="00CD411E" w:rsidRDefault="00D55317" w:rsidP="00D55317">
      <w:pPr>
        <w:pStyle w:val="ListParagraph"/>
        <w:spacing w:before="120" w:after="120"/>
        <w:ind w:left="0"/>
        <w:rPr>
          <w:rFonts w:ascii="Times New Roman" w:hAnsi="Times New Roman" w:cs="Times New Roman"/>
        </w:rPr>
      </w:pPr>
      <w:r w:rsidRPr="00CD411E">
        <w:rPr>
          <w:rFonts w:ascii="Times New Roman" w:hAnsi="Times New Roman" w:cs="Times New Roman"/>
        </w:rPr>
        <w:t xml:space="preserve">Government of South Africa. </w:t>
      </w:r>
      <w:r w:rsidRPr="00CD411E">
        <w:rPr>
          <w:rFonts w:ascii="Times New Roman" w:hAnsi="Times New Roman" w:cs="Times New Roman"/>
          <w:i/>
          <w:iCs/>
        </w:rPr>
        <w:t>Older Persons Act, No. 13 of 2006.</w:t>
      </w:r>
      <w:r w:rsidRPr="00CD411E">
        <w:rPr>
          <w:rFonts w:ascii="Times New Roman" w:hAnsi="Times New Roman" w:cs="Times New Roman"/>
        </w:rPr>
        <w:t xml:space="preserve"> </w:t>
      </w:r>
      <w:hyperlink r:id="rId12" w:tgtFrame="_new" w:history="1">
        <w:r w:rsidRPr="00CD411E">
          <w:rPr>
            <w:rStyle w:val="Hyperlink"/>
            <w:rFonts w:ascii="Times New Roman" w:hAnsi="Times New Roman" w:cs="Times New Roman"/>
          </w:rPr>
          <w:t>https://www.gov.za</w:t>
        </w:r>
      </w:hyperlink>
      <w:r w:rsidRPr="00CD411E">
        <w:rPr>
          <w:rFonts w:ascii="Times New Roman" w:hAnsi="Times New Roman" w:cs="Times New Roman"/>
        </w:rPr>
        <w:br/>
        <w:t xml:space="preserve">HelpAge International. </w:t>
      </w:r>
      <w:r w:rsidRPr="00CD411E">
        <w:rPr>
          <w:rFonts w:ascii="Times New Roman" w:hAnsi="Times New Roman" w:cs="Times New Roman"/>
          <w:i/>
          <w:iCs/>
        </w:rPr>
        <w:t>Social protection and income security for older persons.</w:t>
      </w:r>
      <w:r w:rsidRPr="00CD411E">
        <w:rPr>
          <w:rFonts w:ascii="Times New Roman" w:hAnsi="Times New Roman" w:cs="Times New Roman"/>
        </w:rPr>
        <w:t xml:space="preserve"> </w:t>
      </w:r>
      <w:hyperlink r:id="rId13" w:tgtFrame="_new" w:history="1">
        <w:r w:rsidRPr="00CD411E">
          <w:rPr>
            <w:rStyle w:val="Hyperlink"/>
            <w:rFonts w:ascii="Times New Roman" w:hAnsi="Times New Roman" w:cs="Times New Roman"/>
          </w:rPr>
          <w:t>https://www.helpage.org</w:t>
        </w:r>
      </w:hyperlink>
    </w:p>
    <w:p w14:paraId="6033C038" w14:textId="77777777" w:rsidR="00D55317" w:rsidRPr="00CD411E" w:rsidRDefault="006F79E5" w:rsidP="00D55317">
      <w:pPr>
        <w:pStyle w:val="ListParagraph"/>
        <w:spacing w:before="120" w:after="120"/>
        <w:ind w:left="0"/>
        <w:rPr>
          <w:rFonts w:ascii="Times New Roman" w:hAnsi="Times New Roman" w:cs="Times New Roman"/>
        </w:rPr>
      </w:pPr>
      <w:r>
        <w:pict w14:anchorId="191B30C4">
          <v:rect id="Horizontal Line 12" o:spid="_x0000_s1028"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C6212B7" w14:textId="77777777" w:rsidR="00D55317" w:rsidRPr="00CD411E" w:rsidRDefault="00D55317" w:rsidP="00D55317">
      <w:pPr>
        <w:pStyle w:val="ListParagraph"/>
        <w:spacing w:before="120" w:after="120"/>
        <w:ind w:left="0"/>
        <w:rPr>
          <w:rFonts w:ascii="Times New Roman" w:hAnsi="Times New Roman" w:cs="Times New Roman"/>
          <w:b/>
          <w:bCs/>
        </w:rPr>
      </w:pPr>
      <w:r w:rsidRPr="00CD411E">
        <w:rPr>
          <w:rFonts w:ascii="Times New Roman" w:hAnsi="Times New Roman" w:cs="Times New Roman"/>
          <w:b/>
          <w:bCs/>
        </w:rPr>
        <w:t>4. Morocco — Ageing and Social Inclusion</w:t>
      </w:r>
    </w:p>
    <w:p w14:paraId="1974BF50" w14:textId="77777777" w:rsidR="00D55317" w:rsidRPr="00CD411E" w:rsidRDefault="00D55317" w:rsidP="00D55317">
      <w:pPr>
        <w:pStyle w:val="ListParagraph"/>
        <w:spacing w:before="120" w:after="120"/>
        <w:ind w:left="0"/>
        <w:rPr>
          <w:rFonts w:ascii="Times New Roman" w:hAnsi="Times New Roman" w:cs="Times New Roman"/>
        </w:rPr>
      </w:pPr>
      <w:r w:rsidRPr="00CD411E">
        <w:rPr>
          <w:rFonts w:ascii="Times New Roman" w:hAnsi="Times New Roman" w:cs="Times New Roman"/>
        </w:rPr>
        <w:t>Morocco has developed policies aimed at promoting social inclusion and access to services for older persons.</w:t>
      </w:r>
    </w:p>
    <w:p w14:paraId="2EDC28D2" w14:textId="77777777" w:rsidR="00D55317" w:rsidRPr="00CD411E" w:rsidRDefault="00D55317" w:rsidP="00D55317">
      <w:pPr>
        <w:pStyle w:val="ListParagraph"/>
        <w:spacing w:before="120" w:after="120"/>
        <w:ind w:left="0"/>
        <w:rPr>
          <w:rFonts w:ascii="Times New Roman" w:hAnsi="Times New Roman" w:cs="Times New Roman"/>
        </w:rPr>
      </w:pPr>
      <w:r w:rsidRPr="00CD411E">
        <w:rPr>
          <w:rFonts w:ascii="Times New Roman" w:hAnsi="Times New Roman" w:cs="Times New Roman"/>
          <w:i/>
          <w:iCs/>
        </w:rPr>
        <w:t>Reference:</w:t>
      </w:r>
      <w:r w:rsidRPr="00CD411E">
        <w:rPr>
          <w:rFonts w:ascii="Times New Roman" w:hAnsi="Times New Roman" w:cs="Times New Roman"/>
          <w:i/>
          <w:iCs/>
        </w:rPr>
        <w:br/>
        <w:t xml:space="preserve">UNFPA &amp; League of Arab States. Ageing in the Arab Region. </w:t>
      </w:r>
      <w:hyperlink r:id="rId14" w:tgtFrame="_new" w:history="1">
        <w:r w:rsidRPr="00CD411E">
          <w:rPr>
            <w:rStyle w:val="Hyperlink"/>
            <w:rFonts w:ascii="Times New Roman" w:hAnsi="Times New Roman" w:cs="Times New Roman"/>
            <w:i/>
            <w:iCs/>
          </w:rPr>
          <w:t>https://arabstates.unfpa.org</w:t>
        </w:r>
      </w:hyperlink>
    </w:p>
    <w:p w14:paraId="4F16C213" w14:textId="77777777" w:rsidR="00D55317" w:rsidRPr="00CD411E" w:rsidRDefault="006F79E5" w:rsidP="00D55317">
      <w:pPr>
        <w:pStyle w:val="ListParagraph"/>
        <w:spacing w:before="120" w:after="120"/>
        <w:ind w:left="0"/>
        <w:rPr>
          <w:rFonts w:ascii="Times New Roman" w:hAnsi="Times New Roman" w:cs="Times New Roman"/>
        </w:rPr>
      </w:pPr>
      <w:r>
        <w:pict w14:anchorId="0B8AB900">
          <v:rect id="Horizontal Line 13" o:spid="_x0000_s1027"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7203F2D" w14:textId="77777777" w:rsidR="00D55317" w:rsidRPr="00CD411E" w:rsidRDefault="00D55317" w:rsidP="00D55317">
      <w:pPr>
        <w:pStyle w:val="ListParagraph"/>
        <w:spacing w:before="120" w:after="120"/>
        <w:ind w:left="0"/>
        <w:rPr>
          <w:rFonts w:ascii="Times New Roman" w:hAnsi="Times New Roman" w:cs="Times New Roman"/>
          <w:b/>
          <w:bCs/>
        </w:rPr>
      </w:pPr>
      <w:r w:rsidRPr="00CD411E">
        <w:rPr>
          <w:rFonts w:ascii="Times New Roman" w:hAnsi="Times New Roman" w:cs="Times New Roman"/>
          <w:b/>
          <w:bCs/>
        </w:rPr>
        <w:t>5. Tunisia — Healthy Ageing</w:t>
      </w:r>
    </w:p>
    <w:p w14:paraId="6B2466E1" w14:textId="77777777" w:rsidR="00D55317" w:rsidRPr="00CD411E" w:rsidRDefault="00D55317" w:rsidP="00D55317">
      <w:pPr>
        <w:pStyle w:val="ListParagraph"/>
        <w:spacing w:before="120" w:after="120"/>
        <w:ind w:left="0"/>
        <w:rPr>
          <w:rFonts w:ascii="Times New Roman" w:hAnsi="Times New Roman" w:cs="Times New Roman"/>
        </w:rPr>
      </w:pPr>
      <w:r w:rsidRPr="00CD411E">
        <w:rPr>
          <w:rFonts w:ascii="Times New Roman" w:hAnsi="Times New Roman" w:cs="Times New Roman"/>
        </w:rPr>
        <w:t>Tunisia has promoted policies supporting healthy ageing and strengthening primary health care.</w:t>
      </w:r>
    </w:p>
    <w:p w14:paraId="6E8BB527" w14:textId="77777777" w:rsidR="00D55317" w:rsidRPr="00CD411E" w:rsidRDefault="00D55317" w:rsidP="00D55317">
      <w:pPr>
        <w:pStyle w:val="ListParagraph"/>
        <w:spacing w:before="120" w:after="120"/>
        <w:ind w:left="0"/>
        <w:rPr>
          <w:rFonts w:ascii="Times New Roman" w:hAnsi="Times New Roman" w:cs="Times New Roman"/>
          <w:i/>
          <w:iCs/>
        </w:rPr>
      </w:pPr>
      <w:r w:rsidRPr="00CD411E">
        <w:rPr>
          <w:rFonts w:ascii="Times New Roman" w:hAnsi="Times New Roman" w:cs="Times New Roman"/>
          <w:i/>
          <w:iCs/>
        </w:rPr>
        <w:t>Reference:</w:t>
      </w:r>
      <w:r w:rsidRPr="00CD411E">
        <w:rPr>
          <w:rFonts w:ascii="Times New Roman" w:hAnsi="Times New Roman" w:cs="Times New Roman"/>
          <w:i/>
          <w:iCs/>
        </w:rPr>
        <w:br/>
        <w:t xml:space="preserve">World Health Organization. Healthy Ageing and Primary Health Care. </w:t>
      </w:r>
      <w:hyperlink r:id="rId15" w:tgtFrame="_new" w:history="1">
        <w:r w:rsidRPr="00CD411E">
          <w:rPr>
            <w:rStyle w:val="Hyperlink"/>
            <w:rFonts w:ascii="Times New Roman" w:hAnsi="Times New Roman" w:cs="Times New Roman"/>
            <w:i/>
            <w:iCs/>
          </w:rPr>
          <w:t>https://www.who.int</w:t>
        </w:r>
      </w:hyperlink>
    </w:p>
    <w:p w14:paraId="00B19D45" w14:textId="77777777" w:rsidR="00D55317" w:rsidRPr="00CD411E" w:rsidRDefault="006F79E5" w:rsidP="00D55317">
      <w:pPr>
        <w:pStyle w:val="ListParagraph"/>
        <w:spacing w:before="120" w:after="120"/>
        <w:ind w:left="0"/>
        <w:rPr>
          <w:rFonts w:ascii="Times New Roman" w:hAnsi="Times New Roman" w:cs="Times New Roman"/>
        </w:rPr>
      </w:pPr>
      <w:r>
        <w:pict w14:anchorId="50688A0E">
          <v:rect id="Horizontal Line 14" o:spid="_x0000_s1026"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8EB1C89" w14:textId="77777777" w:rsidR="00D55317" w:rsidRPr="00CD411E" w:rsidRDefault="00D55317" w:rsidP="00D55317">
      <w:pPr>
        <w:pStyle w:val="ListParagraph"/>
        <w:spacing w:before="120" w:after="120"/>
        <w:ind w:left="0"/>
        <w:rPr>
          <w:rFonts w:ascii="Times New Roman" w:hAnsi="Times New Roman" w:cs="Times New Roman"/>
          <w:b/>
          <w:bCs/>
        </w:rPr>
      </w:pPr>
      <w:r w:rsidRPr="00CD411E">
        <w:rPr>
          <w:rFonts w:ascii="Times New Roman" w:hAnsi="Times New Roman" w:cs="Times New Roman"/>
          <w:b/>
          <w:bCs/>
        </w:rPr>
        <w:t>6. India — Community-Based Resilience and Older Persons’ Leadership</w:t>
      </w:r>
    </w:p>
    <w:p w14:paraId="2EB27DA7" w14:textId="77777777" w:rsidR="00D55317" w:rsidRPr="00CD411E" w:rsidRDefault="00D55317" w:rsidP="00D55317">
      <w:pPr>
        <w:pStyle w:val="ListParagraph"/>
        <w:spacing w:before="120" w:after="120"/>
        <w:ind w:left="0"/>
        <w:rPr>
          <w:rFonts w:ascii="Times New Roman" w:hAnsi="Times New Roman" w:cs="Times New Roman"/>
        </w:rPr>
      </w:pPr>
      <w:r w:rsidRPr="00CD411E">
        <w:rPr>
          <w:rFonts w:ascii="Times New Roman" w:hAnsi="Times New Roman" w:cs="Times New Roman"/>
        </w:rPr>
        <w:t>In India, GRAVIS has implemented community-based approaches to healthy ageing in drought-prone regions, engaging older persons through local organisations and intergenerational initiatives.</w:t>
      </w:r>
    </w:p>
    <w:p w14:paraId="57334EF4" w14:textId="1FDD23AE" w:rsidR="000D1CDE" w:rsidRPr="00CD411E" w:rsidRDefault="00D55317" w:rsidP="009D07CD">
      <w:pPr>
        <w:pStyle w:val="ListParagraph"/>
        <w:spacing w:before="120" w:after="120"/>
        <w:ind w:left="0"/>
        <w:rPr>
          <w:rFonts w:ascii="Times New Roman" w:hAnsi="Times New Roman" w:cs="Times New Roman"/>
        </w:rPr>
      </w:pPr>
      <w:r w:rsidRPr="00CD411E">
        <w:rPr>
          <w:rFonts w:ascii="Times New Roman" w:hAnsi="Times New Roman" w:cs="Times New Roman"/>
          <w:i/>
          <w:iCs/>
        </w:rPr>
        <w:t>Reference:</w:t>
      </w:r>
      <w:r w:rsidRPr="00CD411E">
        <w:rPr>
          <w:rFonts w:ascii="Times New Roman" w:hAnsi="Times New Roman" w:cs="Times New Roman"/>
          <w:i/>
          <w:iCs/>
        </w:rPr>
        <w:br/>
        <w:t>GRAVIS. Community-based approaches to healthy ageing and resilience in India. Input to SGA, 2026.</w:t>
      </w:r>
    </w:p>
    <w:sectPr w:rsidR="000D1CDE" w:rsidRPr="00CD411E" w:rsidSect="00302173">
      <w:headerReference w:type="default" r:id="rId16"/>
      <w:footerReference w:type="default" r:id="rId17"/>
      <w:footnotePr>
        <w:pos w:val="beneathText"/>
      </w:footnotePr>
      <w:endnotePr>
        <w:numFmt w:val="decimal"/>
      </w:endnotePr>
      <w:pgSz w:w="11906" w:h="16838"/>
      <w:pgMar w:top="1276"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27DCB7" w16cex:dateUtc="2026-04-09T18:33:00Z"/>
  <w16cex:commentExtensible w16cex:durableId="1F7EC402" w16cex:dateUtc="2026-04-09T18:42:00Z"/>
  <w16cex:commentExtensible w16cex:durableId="43947614" w16cex:dateUtc="2026-04-09T19:16:00Z"/>
  <w16cex:commentExtensible w16cex:durableId="3BEDAF6D" w16cex:dateUtc="2026-04-09T19:19:00Z"/>
  <w16cex:commentExtensible w16cex:durableId="5D540272" w16cex:dateUtc="2026-04-09T19: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AE8E4" w14:textId="77777777" w:rsidR="006F79E5" w:rsidRDefault="006F79E5" w:rsidP="00CB44E5">
      <w:pPr>
        <w:spacing w:after="0" w:line="240" w:lineRule="auto"/>
      </w:pPr>
      <w:r>
        <w:separator/>
      </w:r>
    </w:p>
  </w:endnote>
  <w:endnote w:type="continuationSeparator" w:id="0">
    <w:p w14:paraId="6B922DDD" w14:textId="77777777" w:rsidR="006F79E5" w:rsidRDefault="006F79E5" w:rsidP="00CB44E5">
      <w:pPr>
        <w:spacing w:after="0" w:line="240" w:lineRule="auto"/>
      </w:pPr>
      <w:r>
        <w:continuationSeparator/>
      </w:r>
    </w:p>
  </w:endnote>
  <w:endnote w:id="1">
    <w:p w14:paraId="582357F0" w14:textId="77777777" w:rsidR="001A71E4" w:rsidRPr="00CD411E" w:rsidRDefault="001A71E4" w:rsidP="00BF7653">
      <w:pPr>
        <w:pStyle w:val="EndnoteText"/>
        <w:rPr>
          <w:rFonts w:ascii="Times New Roman" w:hAnsi="Times New Roman" w:cs="Times New Roman"/>
        </w:rPr>
      </w:pPr>
      <w:r w:rsidRPr="00CD411E">
        <w:rPr>
          <w:rStyle w:val="EndnoteReference"/>
          <w:rFonts w:ascii="Times New Roman" w:hAnsi="Times New Roman" w:cs="Times New Roman"/>
        </w:rPr>
        <w:endnoteRef/>
      </w:r>
      <w:r w:rsidRPr="00CD411E">
        <w:rPr>
          <w:rFonts w:ascii="Times New Roman" w:hAnsi="Times New Roman" w:cs="Times New Roman"/>
        </w:rPr>
        <w:t xml:space="preserve"> UNOPS. </w:t>
      </w:r>
      <w:r w:rsidRPr="00CD411E">
        <w:rPr>
          <w:rFonts w:ascii="Times New Roman" w:hAnsi="Times New Roman" w:cs="Times New Roman"/>
          <w:i/>
          <w:iCs/>
        </w:rPr>
        <w:t>Infrastructure and climate-resilient water and sanitation systems: project implementation and inclusive design approaches.</w:t>
      </w:r>
      <w:r w:rsidRPr="00CD411E">
        <w:rPr>
          <w:rFonts w:ascii="Times New Roman" w:hAnsi="Times New Roman" w:cs="Times New Roman"/>
        </w:rPr>
        <w:br/>
      </w:r>
      <w:hyperlink r:id="rId1" w:tgtFrame="_new" w:history="1">
        <w:r w:rsidRPr="00CD411E">
          <w:rPr>
            <w:rStyle w:val="Hyperlink"/>
            <w:rFonts w:ascii="Times New Roman" w:hAnsi="Times New Roman" w:cs="Times New Roman"/>
          </w:rPr>
          <w:t>https://www.unops.org</w:t>
        </w:r>
      </w:hyperlink>
    </w:p>
  </w:endnote>
  <w:endnote w:id="2">
    <w:p w14:paraId="722CC342" w14:textId="422A1405" w:rsidR="001A71E4" w:rsidRPr="00CD411E" w:rsidRDefault="001A71E4" w:rsidP="00BF7653">
      <w:pPr>
        <w:pStyle w:val="EndnoteText"/>
        <w:rPr>
          <w:rFonts w:ascii="Times New Roman" w:hAnsi="Times New Roman" w:cs="Times New Roman"/>
        </w:rPr>
      </w:pPr>
      <w:r w:rsidRPr="00CD411E">
        <w:rPr>
          <w:rStyle w:val="EndnoteReference"/>
          <w:rFonts w:ascii="Times New Roman" w:hAnsi="Times New Roman" w:cs="Times New Roman"/>
        </w:rPr>
        <w:endnoteRef/>
      </w:r>
      <w:r w:rsidRPr="00CD411E">
        <w:rPr>
          <w:rFonts w:ascii="Times New Roman" w:hAnsi="Times New Roman" w:cs="Times New Roman"/>
        </w:rPr>
        <w:t xml:space="preserve"> UNICEF. </w:t>
      </w:r>
      <w:r w:rsidRPr="00CD411E">
        <w:rPr>
          <w:rFonts w:ascii="Times New Roman" w:hAnsi="Times New Roman" w:cs="Times New Roman"/>
          <w:i/>
          <w:iCs/>
        </w:rPr>
        <w:t>Water, sanitation and hygiene (WASH) and disability inclusion.</w:t>
      </w:r>
      <w:r w:rsidRPr="00CD411E">
        <w:rPr>
          <w:rFonts w:ascii="Times New Roman" w:hAnsi="Times New Roman" w:cs="Times New Roman"/>
        </w:rPr>
        <w:br/>
      </w:r>
      <w:hyperlink r:id="rId2" w:history="1">
        <w:r w:rsidRPr="00CD411E">
          <w:rPr>
            <w:rStyle w:val="Hyperlink"/>
            <w:rFonts w:ascii="Times New Roman" w:hAnsi="Times New Roman" w:cs="Times New Roman"/>
          </w:rPr>
          <w:t>https://www.unicef.org/wash/disability</w:t>
        </w:r>
      </w:hyperlink>
    </w:p>
  </w:endnote>
  <w:endnote w:id="3">
    <w:p w14:paraId="2F868451" w14:textId="68DC9EC4" w:rsidR="001A71E4" w:rsidRPr="00CD411E" w:rsidRDefault="001A71E4" w:rsidP="00006130">
      <w:pPr>
        <w:pStyle w:val="EndnoteText"/>
        <w:rPr>
          <w:rFonts w:ascii="Times New Roman" w:hAnsi="Times New Roman" w:cs="Times New Roman"/>
        </w:rPr>
      </w:pPr>
      <w:r w:rsidRPr="00CD411E">
        <w:rPr>
          <w:rStyle w:val="EndnoteReference"/>
          <w:rFonts w:ascii="Times New Roman" w:hAnsi="Times New Roman" w:cs="Times New Roman"/>
        </w:rPr>
        <w:endnoteRef/>
      </w:r>
      <w:r w:rsidRPr="00CD411E">
        <w:rPr>
          <w:rFonts w:ascii="Times New Roman" w:hAnsi="Times New Roman" w:cs="Times New Roman"/>
        </w:rPr>
        <w:t xml:space="preserve"> World Economic Forum (2024), </w:t>
      </w:r>
      <w:r w:rsidRPr="00CD411E">
        <w:rPr>
          <w:rFonts w:ascii="Times New Roman" w:hAnsi="Times New Roman" w:cs="Times New Roman"/>
          <w:i/>
          <w:iCs/>
        </w:rPr>
        <w:t>How communities can step up to provide long-term care for the world’s ageing population</w:t>
      </w:r>
      <w:r w:rsidRPr="00CD411E">
        <w:rPr>
          <w:rFonts w:ascii="Times New Roman" w:hAnsi="Times New Roman" w:cs="Times New Roman"/>
        </w:rPr>
        <w:t xml:space="preserve">. Available at: </w:t>
      </w:r>
      <w:hyperlink r:id="rId3" w:tgtFrame="_new" w:history="1">
        <w:r w:rsidRPr="00CD411E">
          <w:rPr>
            <w:rStyle w:val="Hyperlink"/>
            <w:rFonts w:ascii="Times New Roman" w:hAnsi="Times New Roman" w:cs="Times New Roman"/>
          </w:rPr>
          <w:t>https://www.weforum.org/stories/2024/05/how-communities-can-step-up-to-provide-long-term-care-for-the-world-s-ageing-population/</w:t>
        </w:r>
      </w:hyperlink>
    </w:p>
  </w:endnote>
  <w:endnote w:id="4">
    <w:p w14:paraId="49E9F059" w14:textId="1679F42B" w:rsidR="001A71E4" w:rsidRPr="00CD411E" w:rsidRDefault="001A71E4">
      <w:pPr>
        <w:pStyle w:val="EndnoteText"/>
        <w:rPr>
          <w:rFonts w:ascii="Times New Roman" w:hAnsi="Times New Roman" w:cs="Times New Roman"/>
        </w:rPr>
      </w:pPr>
      <w:r w:rsidRPr="00CD411E">
        <w:rPr>
          <w:rStyle w:val="EndnoteReference"/>
          <w:rFonts w:ascii="Times New Roman" w:hAnsi="Times New Roman" w:cs="Times New Roman"/>
        </w:rPr>
        <w:endnoteRef/>
      </w:r>
      <w:r w:rsidRPr="00CD411E">
        <w:rPr>
          <w:rFonts w:ascii="Times New Roman" w:hAnsi="Times New Roman" w:cs="Times New Roman"/>
        </w:rPr>
        <w:t xml:space="preserve"> HelpAge International (2023), </w:t>
      </w:r>
      <w:r w:rsidRPr="00CD411E">
        <w:rPr>
          <w:rFonts w:ascii="Times New Roman" w:hAnsi="Times New Roman" w:cs="Times New Roman"/>
          <w:i/>
          <w:iCs/>
        </w:rPr>
        <w:t>#GreyAndGreen Manifesto: A commitment to put older people at the forefront of climate solutions</w:t>
      </w:r>
      <w:r w:rsidRPr="00CD411E">
        <w:rPr>
          <w:rFonts w:ascii="Times New Roman" w:hAnsi="Times New Roman" w:cs="Times New Roman"/>
        </w:rPr>
        <w:t>, London. Available at:</w:t>
      </w:r>
      <w:r w:rsidRPr="00CD411E">
        <w:rPr>
          <w:rFonts w:ascii="Times New Roman" w:hAnsi="Times New Roman" w:cs="Times New Roman"/>
        </w:rPr>
        <w:br/>
      </w:r>
      <w:hyperlink r:id="rId4" w:tgtFrame="_new" w:history="1">
        <w:r w:rsidRPr="00CD411E">
          <w:rPr>
            <w:rStyle w:val="Hyperlink"/>
            <w:rFonts w:ascii="Times New Roman" w:hAnsi="Times New Roman" w:cs="Times New Roman"/>
          </w:rPr>
          <w:t>https://www.helpage.org/resource/greyandgreen-manifesto-en/</w:t>
        </w:r>
      </w:hyperlink>
    </w:p>
  </w:endnote>
  <w:endnote w:id="5">
    <w:p w14:paraId="55D4FE74" w14:textId="54552E0D" w:rsidR="001A71E4" w:rsidRPr="00CD411E" w:rsidRDefault="001A71E4">
      <w:pPr>
        <w:pStyle w:val="EndnoteText"/>
        <w:rPr>
          <w:rFonts w:ascii="Times New Roman" w:hAnsi="Times New Roman" w:cs="Times New Roman"/>
        </w:rPr>
      </w:pPr>
      <w:r w:rsidRPr="00CD411E">
        <w:rPr>
          <w:rStyle w:val="EndnoteReference"/>
          <w:rFonts w:ascii="Times New Roman" w:hAnsi="Times New Roman" w:cs="Times New Roman"/>
        </w:rPr>
        <w:endnoteRef/>
      </w:r>
      <w:r w:rsidRPr="00CD411E">
        <w:rPr>
          <w:rFonts w:ascii="Times New Roman" w:hAnsi="Times New Roman" w:cs="Times New Roman"/>
        </w:rPr>
        <w:t xml:space="preserve"> HelpAge International. Social Protection and Older Persons. </w:t>
      </w:r>
      <w:hyperlink r:id="rId5" w:history="1">
        <w:r w:rsidRPr="00CD411E">
          <w:rPr>
            <w:rStyle w:val="Hyperlink"/>
            <w:rFonts w:ascii="Times New Roman" w:hAnsi="Times New Roman" w:cs="Times New Roman"/>
          </w:rPr>
          <w:t>https://www.helpage.org</w:t>
        </w:r>
      </w:hyperlink>
    </w:p>
  </w:endnote>
  <w:endnote w:id="6">
    <w:p w14:paraId="7DF41421" w14:textId="682C926F" w:rsidR="001A71E4" w:rsidRPr="00CD411E" w:rsidRDefault="001A71E4">
      <w:pPr>
        <w:pStyle w:val="EndnoteText"/>
        <w:rPr>
          <w:rFonts w:ascii="Times New Roman" w:hAnsi="Times New Roman" w:cs="Times New Roman"/>
        </w:rPr>
      </w:pPr>
      <w:r w:rsidRPr="00CD411E">
        <w:rPr>
          <w:rStyle w:val="EndnoteReference"/>
          <w:rFonts w:ascii="Times New Roman" w:hAnsi="Times New Roman" w:cs="Times New Roman"/>
        </w:rPr>
        <w:endnoteRef/>
      </w:r>
      <w:r w:rsidRPr="00CD411E">
        <w:rPr>
          <w:rFonts w:ascii="Times New Roman" w:hAnsi="Times New Roman" w:cs="Times New Roman"/>
        </w:rPr>
        <w:t xml:space="preserve"> Government of Rwanda; World Bank. Social protection and health systems in Rwanda.</w:t>
      </w:r>
    </w:p>
  </w:endnote>
  <w:endnote w:id="7">
    <w:p w14:paraId="047A28BC" w14:textId="058B19B8" w:rsidR="001A71E4" w:rsidRPr="00CD411E" w:rsidRDefault="001A71E4">
      <w:pPr>
        <w:pStyle w:val="EndnoteText"/>
        <w:rPr>
          <w:rFonts w:ascii="Times New Roman" w:hAnsi="Times New Roman" w:cs="Times New Roman"/>
        </w:rPr>
      </w:pPr>
      <w:r w:rsidRPr="00CD411E">
        <w:rPr>
          <w:rStyle w:val="EndnoteReference"/>
          <w:rFonts w:ascii="Times New Roman" w:hAnsi="Times New Roman" w:cs="Times New Roman"/>
        </w:rPr>
        <w:endnoteRef/>
      </w:r>
      <w:r w:rsidRPr="00CD411E">
        <w:rPr>
          <w:rFonts w:ascii="Times New Roman" w:hAnsi="Times New Roman" w:cs="Times New Roman"/>
        </w:rPr>
        <w:t xml:space="preserve"> Government of Kenya; HelpAge International. Older Persons Cash Transfer Programme and social protection.</w:t>
      </w:r>
    </w:p>
  </w:endnote>
  <w:endnote w:id="8">
    <w:p w14:paraId="47FF6530" w14:textId="536D5034" w:rsidR="001A71E4" w:rsidRPr="00CD411E" w:rsidRDefault="001A71E4">
      <w:pPr>
        <w:pStyle w:val="EndnoteText"/>
        <w:rPr>
          <w:rFonts w:ascii="Times New Roman" w:hAnsi="Times New Roman" w:cs="Times New Roman"/>
        </w:rPr>
      </w:pPr>
      <w:r w:rsidRPr="00CD411E">
        <w:rPr>
          <w:rStyle w:val="EndnoteReference"/>
          <w:rFonts w:ascii="Times New Roman" w:hAnsi="Times New Roman" w:cs="Times New Roman"/>
        </w:rPr>
        <w:endnoteRef/>
      </w:r>
      <w:r w:rsidRPr="00CD411E">
        <w:rPr>
          <w:rFonts w:ascii="Times New Roman" w:hAnsi="Times New Roman" w:cs="Times New Roman"/>
        </w:rPr>
        <w:t xml:space="preserve"> Government of South Africa. Older Persons Act (2006)</w:t>
      </w:r>
    </w:p>
  </w:endnote>
  <w:endnote w:id="9">
    <w:p w14:paraId="592504DF" w14:textId="07EDA23C" w:rsidR="001A71E4" w:rsidRPr="00CD411E" w:rsidRDefault="001A71E4">
      <w:pPr>
        <w:pStyle w:val="EndnoteText"/>
        <w:rPr>
          <w:rFonts w:ascii="Times New Roman" w:hAnsi="Times New Roman" w:cs="Times New Roman"/>
        </w:rPr>
      </w:pPr>
      <w:r w:rsidRPr="00CD411E">
        <w:rPr>
          <w:rStyle w:val="EndnoteReference"/>
          <w:rFonts w:ascii="Times New Roman" w:hAnsi="Times New Roman" w:cs="Times New Roman"/>
        </w:rPr>
        <w:endnoteRef/>
      </w:r>
      <w:r w:rsidRPr="00CD411E">
        <w:rPr>
          <w:rFonts w:ascii="Times New Roman" w:hAnsi="Times New Roman" w:cs="Times New Roman"/>
        </w:rPr>
        <w:t xml:space="preserve"> UNFPA; WHO. Ageing policies in Morocco and Tunisia.</w:t>
      </w:r>
    </w:p>
  </w:endnote>
  <w:endnote w:id="10">
    <w:p w14:paraId="3907291C" w14:textId="6AFD2A60" w:rsidR="001A71E4" w:rsidRPr="00CD411E" w:rsidRDefault="001A71E4">
      <w:pPr>
        <w:pStyle w:val="EndnoteText"/>
        <w:rPr>
          <w:rFonts w:ascii="Times New Roman" w:hAnsi="Times New Roman" w:cs="Times New Roman"/>
        </w:rPr>
      </w:pPr>
      <w:r w:rsidRPr="00CD411E">
        <w:rPr>
          <w:rStyle w:val="EndnoteReference"/>
          <w:rFonts w:ascii="Times New Roman" w:hAnsi="Times New Roman" w:cs="Times New Roman"/>
        </w:rPr>
        <w:endnoteRef/>
      </w:r>
      <w:r w:rsidRPr="00CD411E">
        <w:rPr>
          <w:rFonts w:ascii="Times New Roman" w:hAnsi="Times New Roman" w:cs="Times New Roman"/>
        </w:rPr>
        <w:t xml:space="preserve"> Titchfield Group. Call Notes, 27 February 2026.</w:t>
      </w:r>
    </w:p>
  </w:endnote>
  <w:endnote w:id="11">
    <w:p w14:paraId="1174C63A" w14:textId="7C77A1F3" w:rsidR="001A71E4" w:rsidRDefault="001A71E4">
      <w:pPr>
        <w:pStyle w:val="EndnoteText"/>
      </w:pPr>
      <w:r w:rsidRPr="00CD411E">
        <w:rPr>
          <w:rStyle w:val="EndnoteReference"/>
          <w:rFonts w:ascii="Times New Roman" w:hAnsi="Times New Roman" w:cs="Times New Roman"/>
        </w:rPr>
        <w:endnoteRef/>
      </w:r>
      <w:r w:rsidRPr="00CD411E">
        <w:rPr>
          <w:rFonts w:ascii="Times New Roman" w:hAnsi="Times New Roman" w:cs="Times New Roman"/>
        </w:rPr>
        <w:t xml:space="preserve"> United Nations. World Data Forum — Road to Riyadh process (2026)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932341"/>
      <w:docPartObj>
        <w:docPartGallery w:val="Page Numbers (Bottom of Page)"/>
        <w:docPartUnique/>
      </w:docPartObj>
    </w:sdtPr>
    <w:sdtEndPr/>
    <w:sdtContent>
      <w:p w14:paraId="4F2A7E6D" w14:textId="51F2486C" w:rsidR="00CB44E5" w:rsidRDefault="00CB44E5">
        <w:pPr>
          <w:pStyle w:val="Footer"/>
          <w:jc w:val="center"/>
        </w:pPr>
        <w:r>
          <w:fldChar w:fldCharType="begin"/>
        </w:r>
        <w:r>
          <w:instrText>PAGE   \* MERGEFORMAT</w:instrText>
        </w:r>
        <w:r>
          <w:fldChar w:fldCharType="separate"/>
        </w:r>
        <w:r>
          <w:rPr>
            <w:lang w:val="fr-FR"/>
          </w:rPr>
          <w:t>2</w:t>
        </w:r>
        <w:r>
          <w:fldChar w:fldCharType="end"/>
        </w:r>
      </w:p>
    </w:sdtContent>
  </w:sdt>
  <w:p w14:paraId="14FB004F" w14:textId="77777777" w:rsidR="00CB44E5" w:rsidRDefault="00CB4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01BE4" w14:textId="77777777" w:rsidR="006F79E5" w:rsidRDefault="006F79E5" w:rsidP="00CB44E5">
      <w:pPr>
        <w:spacing w:after="0" w:line="240" w:lineRule="auto"/>
      </w:pPr>
      <w:r>
        <w:separator/>
      </w:r>
    </w:p>
  </w:footnote>
  <w:footnote w:type="continuationSeparator" w:id="0">
    <w:p w14:paraId="2472C9F0" w14:textId="77777777" w:rsidR="006F79E5" w:rsidRDefault="006F79E5" w:rsidP="00CB44E5">
      <w:pPr>
        <w:spacing w:after="0" w:line="240" w:lineRule="auto"/>
      </w:pPr>
      <w:r>
        <w:continuationSeparator/>
      </w:r>
    </w:p>
  </w:footnote>
  <w:footnote w:id="1">
    <w:p w14:paraId="5E2DE0E3" w14:textId="2F0759DB" w:rsidR="00CE2819" w:rsidRDefault="00CE2819">
      <w:pPr>
        <w:pStyle w:val="FootnoteText"/>
      </w:pPr>
      <w:r>
        <w:rPr>
          <w:rStyle w:val="FootnoteReference"/>
        </w:rPr>
        <w:footnoteRef/>
      </w:r>
      <w:r>
        <w:t xml:space="preserve"> </w:t>
      </w:r>
      <w:r w:rsidRPr="00CE2819">
        <w:t>https://www.un.org/development/desa/ageing/wp-content/uploads/sites/24/2019/04/MISA-Survey-Report.pdf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3125" w14:textId="3E4C0703" w:rsidR="000C7CA2" w:rsidRDefault="000C7CA2" w:rsidP="00FF7254">
    <w:pPr>
      <w:pStyle w:val="Header"/>
      <w:jc w:val="center"/>
      <w:rPr>
        <w:b/>
        <w:bCs/>
        <w:color w:val="A6A6A6" w:themeColor="background1" w:themeShade="A6"/>
        <w:sz w:val="22"/>
        <w:szCs w:val="22"/>
      </w:rPr>
    </w:pPr>
    <w:r w:rsidRPr="000C7CA2">
      <w:rPr>
        <w:b/>
        <w:bCs/>
        <w:noProof/>
        <w:color w:val="A6A6A6" w:themeColor="background1" w:themeShade="A6"/>
        <w:sz w:val="22"/>
        <w:szCs w:val="22"/>
      </w:rPr>
      <w:drawing>
        <wp:inline distT="0" distB="0" distL="0" distR="0" wp14:anchorId="05B5C2A7" wp14:editId="28F93BDD">
          <wp:extent cx="1701800" cy="55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01800" cy="558800"/>
                  </a:xfrm>
                  <a:prstGeom prst="rect">
                    <a:avLst/>
                  </a:prstGeom>
                </pic:spPr>
              </pic:pic>
            </a:graphicData>
          </a:graphic>
        </wp:inline>
      </w:drawing>
    </w:r>
  </w:p>
  <w:p w14:paraId="08AE07E2" w14:textId="77777777" w:rsidR="00FF7254" w:rsidRPr="002712F9" w:rsidRDefault="00FF7254" w:rsidP="006125AA">
    <w:pPr>
      <w:pStyle w:val="Header"/>
      <w:rPr>
        <w:b/>
        <w:bCs/>
        <w:color w:val="A6A6A6" w:themeColor="background1" w:themeShade="A6"/>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44" style="width:0;height:1.5pt" o:hralign="center" o:bullet="t" o:hrstd="t" o:hr="t" fillcolor="#a0a0a0" stroked="f"/>
    </w:pict>
  </w:numPicBullet>
  <w:numPicBullet w:numPicBulletId="1">
    <w:pict>
      <v:rect id="_x0000_i1045" style="width:0;height:1.5pt" o:hralign="center" o:bullet="t" o:hrstd="t" o:hr="t" fillcolor="#a0a0a0" stroked="f"/>
    </w:pict>
  </w:numPicBullet>
  <w:abstractNum w:abstractNumId="0" w15:restartNumberingAfterBreak="0">
    <w:nsid w:val="02D54419"/>
    <w:multiLevelType w:val="hybridMultilevel"/>
    <w:tmpl w:val="8A8C93E4"/>
    <w:lvl w:ilvl="0" w:tplc="0D1C53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57C5"/>
    <w:multiLevelType w:val="hybridMultilevel"/>
    <w:tmpl w:val="AF7A6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73DEE"/>
    <w:multiLevelType w:val="multilevel"/>
    <w:tmpl w:val="3C968FBE"/>
    <w:lvl w:ilvl="0">
      <w:start w:val="17"/>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B09F0"/>
    <w:multiLevelType w:val="hybridMultilevel"/>
    <w:tmpl w:val="F9DE6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358DD"/>
    <w:multiLevelType w:val="multilevel"/>
    <w:tmpl w:val="C8CA9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53AD4"/>
    <w:multiLevelType w:val="hybridMultilevel"/>
    <w:tmpl w:val="521A4412"/>
    <w:lvl w:ilvl="0" w:tplc="0D1C53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81162"/>
    <w:multiLevelType w:val="multilevel"/>
    <w:tmpl w:val="427E54D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7D59EC"/>
    <w:multiLevelType w:val="hybridMultilevel"/>
    <w:tmpl w:val="155CCC30"/>
    <w:lvl w:ilvl="0" w:tplc="0D1C53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95EEC"/>
    <w:multiLevelType w:val="hybridMultilevel"/>
    <w:tmpl w:val="2D206EA8"/>
    <w:lvl w:ilvl="0" w:tplc="0809000F">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B3E00"/>
    <w:multiLevelType w:val="hybridMultilevel"/>
    <w:tmpl w:val="67CA4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8D38C1"/>
    <w:multiLevelType w:val="hybridMultilevel"/>
    <w:tmpl w:val="E1287BCC"/>
    <w:lvl w:ilvl="0" w:tplc="0D1C53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54022"/>
    <w:multiLevelType w:val="hybridMultilevel"/>
    <w:tmpl w:val="3B92BE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FD17AA"/>
    <w:multiLevelType w:val="hybridMultilevel"/>
    <w:tmpl w:val="B152440E"/>
    <w:lvl w:ilvl="0" w:tplc="0D1C53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72D5C"/>
    <w:multiLevelType w:val="hybridMultilevel"/>
    <w:tmpl w:val="9880E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364926"/>
    <w:multiLevelType w:val="hybridMultilevel"/>
    <w:tmpl w:val="0F42AA00"/>
    <w:lvl w:ilvl="0" w:tplc="0D1C53C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196AA1"/>
    <w:multiLevelType w:val="hybridMultilevel"/>
    <w:tmpl w:val="FA54153C"/>
    <w:lvl w:ilvl="0" w:tplc="0D1C53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B2204"/>
    <w:multiLevelType w:val="multilevel"/>
    <w:tmpl w:val="707A5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4059F4"/>
    <w:multiLevelType w:val="hybridMultilevel"/>
    <w:tmpl w:val="4600C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08227C"/>
    <w:multiLevelType w:val="hybridMultilevel"/>
    <w:tmpl w:val="6478CD1A"/>
    <w:lvl w:ilvl="0" w:tplc="0809000F">
      <w:start w:val="1"/>
      <w:numFmt w:val="decimal"/>
      <w:lvlText w:val="%1."/>
      <w:lvlJc w:val="left"/>
      <w:pPr>
        <w:ind w:left="108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9" w15:restartNumberingAfterBreak="0">
    <w:nsid w:val="714A0454"/>
    <w:multiLevelType w:val="hybridMultilevel"/>
    <w:tmpl w:val="8536E1CE"/>
    <w:lvl w:ilvl="0" w:tplc="0D1C53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3735D"/>
    <w:multiLevelType w:val="hybridMultilevel"/>
    <w:tmpl w:val="FBAA3070"/>
    <w:lvl w:ilvl="0" w:tplc="0D1C53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8156CD"/>
    <w:multiLevelType w:val="hybridMultilevel"/>
    <w:tmpl w:val="886058BC"/>
    <w:lvl w:ilvl="0" w:tplc="0D1C53C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FC57A7B"/>
    <w:multiLevelType w:val="hybridMultilevel"/>
    <w:tmpl w:val="CA3E3932"/>
    <w:lvl w:ilvl="0" w:tplc="0D1C53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4"/>
  </w:num>
  <w:num w:numId="4">
    <w:abstractNumId w:val="21"/>
  </w:num>
  <w:num w:numId="5">
    <w:abstractNumId w:val="15"/>
  </w:num>
  <w:num w:numId="6">
    <w:abstractNumId w:val="12"/>
  </w:num>
  <w:num w:numId="7">
    <w:abstractNumId w:val="20"/>
  </w:num>
  <w:num w:numId="8">
    <w:abstractNumId w:val="0"/>
  </w:num>
  <w:num w:numId="9">
    <w:abstractNumId w:val="19"/>
  </w:num>
  <w:num w:numId="10">
    <w:abstractNumId w:val="5"/>
  </w:num>
  <w:num w:numId="11">
    <w:abstractNumId w:val="7"/>
  </w:num>
  <w:num w:numId="12">
    <w:abstractNumId w:val="22"/>
  </w:num>
  <w:num w:numId="13">
    <w:abstractNumId w:val="18"/>
  </w:num>
  <w:num w:numId="14">
    <w:abstractNumId w:val="1"/>
  </w:num>
  <w:num w:numId="15">
    <w:abstractNumId w:val="9"/>
  </w:num>
  <w:num w:numId="16">
    <w:abstractNumId w:val="17"/>
  </w:num>
  <w:num w:numId="17">
    <w:abstractNumId w:val="4"/>
  </w:num>
  <w:num w:numId="18">
    <w:abstractNumId w:val="11"/>
  </w:num>
  <w:num w:numId="19">
    <w:abstractNumId w:val="13"/>
  </w:num>
  <w:num w:numId="20">
    <w:abstractNumId w:val="16"/>
  </w:num>
  <w:num w:numId="21">
    <w:abstractNumId w:val="8"/>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EF"/>
    <w:rsid w:val="00000861"/>
    <w:rsid w:val="00004A76"/>
    <w:rsid w:val="00006130"/>
    <w:rsid w:val="00007E18"/>
    <w:rsid w:val="00012468"/>
    <w:rsid w:val="00014559"/>
    <w:rsid w:val="000168E2"/>
    <w:rsid w:val="000169E8"/>
    <w:rsid w:val="00017131"/>
    <w:rsid w:val="000223D6"/>
    <w:rsid w:val="000254F2"/>
    <w:rsid w:val="000267ED"/>
    <w:rsid w:val="00026EDC"/>
    <w:rsid w:val="0003710B"/>
    <w:rsid w:val="00040ED9"/>
    <w:rsid w:val="00041321"/>
    <w:rsid w:val="0004701E"/>
    <w:rsid w:val="00057BBB"/>
    <w:rsid w:val="000613AA"/>
    <w:rsid w:val="00072346"/>
    <w:rsid w:val="0007374F"/>
    <w:rsid w:val="00073A0F"/>
    <w:rsid w:val="0008156B"/>
    <w:rsid w:val="00082DB3"/>
    <w:rsid w:val="00091A49"/>
    <w:rsid w:val="00093D73"/>
    <w:rsid w:val="00097065"/>
    <w:rsid w:val="00097146"/>
    <w:rsid w:val="000972CC"/>
    <w:rsid w:val="000A2FFE"/>
    <w:rsid w:val="000B71BF"/>
    <w:rsid w:val="000C6F6A"/>
    <w:rsid w:val="000C7CA2"/>
    <w:rsid w:val="000D1CDE"/>
    <w:rsid w:val="000D738D"/>
    <w:rsid w:val="000D78D1"/>
    <w:rsid w:val="000E1163"/>
    <w:rsid w:val="000E5C5B"/>
    <w:rsid w:val="00102343"/>
    <w:rsid w:val="00105AD3"/>
    <w:rsid w:val="001066AA"/>
    <w:rsid w:val="001115DD"/>
    <w:rsid w:val="00111AF2"/>
    <w:rsid w:val="0011477A"/>
    <w:rsid w:val="00117AA4"/>
    <w:rsid w:val="00120F17"/>
    <w:rsid w:val="00124846"/>
    <w:rsid w:val="00133C64"/>
    <w:rsid w:val="00136A78"/>
    <w:rsid w:val="0014136B"/>
    <w:rsid w:val="00143F3F"/>
    <w:rsid w:val="00146DBF"/>
    <w:rsid w:val="00147B30"/>
    <w:rsid w:val="00154B7D"/>
    <w:rsid w:val="001656E7"/>
    <w:rsid w:val="0016737F"/>
    <w:rsid w:val="00167E17"/>
    <w:rsid w:val="00173AC2"/>
    <w:rsid w:val="00184301"/>
    <w:rsid w:val="0018507D"/>
    <w:rsid w:val="00191946"/>
    <w:rsid w:val="00192F82"/>
    <w:rsid w:val="001A1D92"/>
    <w:rsid w:val="001A71E4"/>
    <w:rsid w:val="001A796B"/>
    <w:rsid w:val="001B463A"/>
    <w:rsid w:val="001B6C8B"/>
    <w:rsid w:val="001C2C26"/>
    <w:rsid w:val="001D4467"/>
    <w:rsid w:val="001E3A2D"/>
    <w:rsid w:val="001E4F6B"/>
    <w:rsid w:val="001E64A0"/>
    <w:rsid w:val="001E6583"/>
    <w:rsid w:val="001F27A5"/>
    <w:rsid w:val="00200ED3"/>
    <w:rsid w:val="0021101F"/>
    <w:rsid w:val="00216EA0"/>
    <w:rsid w:val="002248CD"/>
    <w:rsid w:val="0023289A"/>
    <w:rsid w:val="0025234B"/>
    <w:rsid w:val="00257E67"/>
    <w:rsid w:val="0026553B"/>
    <w:rsid w:val="002712F9"/>
    <w:rsid w:val="002828B2"/>
    <w:rsid w:val="002839C5"/>
    <w:rsid w:val="002918D3"/>
    <w:rsid w:val="00292AAC"/>
    <w:rsid w:val="002A003F"/>
    <w:rsid w:val="002A2579"/>
    <w:rsid w:val="002B50C9"/>
    <w:rsid w:val="002C41E4"/>
    <w:rsid w:val="002D4A78"/>
    <w:rsid w:val="002D4FD8"/>
    <w:rsid w:val="002D51E9"/>
    <w:rsid w:val="002E56E3"/>
    <w:rsid w:val="002F3E19"/>
    <w:rsid w:val="00302173"/>
    <w:rsid w:val="00304A95"/>
    <w:rsid w:val="00313D7B"/>
    <w:rsid w:val="00315D4F"/>
    <w:rsid w:val="003238DE"/>
    <w:rsid w:val="00331826"/>
    <w:rsid w:val="0037036A"/>
    <w:rsid w:val="00371331"/>
    <w:rsid w:val="00383475"/>
    <w:rsid w:val="00396781"/>
    <w:rsid w:val="003977D4"/>
    <w:rsid w:val="003A3561"/>
    <w:rsid w:val="003B49D7"/>
    <w:rsid w:val="003B56AD"/>
    <w:rsid w:val="003C0837"/>
    <w:rsid w:val="003C2134"/>
    <w:rsid w:val="003C4878"/>
    <w:rsid w:val="003E247C"/>
    <w:rsid w:val="003E71A7"/>
    <w:rsid w:val="003F15D6"/>
    <w:rsid w:val="004007EC"/>
    <w:rsid w:val="00407DFF"/>
    <w:rsid w:val="004123BE"/>
    <w:rsid w:val="00412C5E"/>
    <w:rsid w:val="004141A8"/>
    <w:rsid w:val="00416A43"/>
    <w:rsid w:val="00426902"/>
    <w:rsid w:val="00434D69"/>
    <w:rsid w:val="00443EB5"/>
    <w:rsid w:val="00450C24"/>
    <w:rsid w:val="004525D2"/>
    <w:rsid w:val="00452C19"/>
    <w:rsid w:val="00454127"/>
    <w:rsid w:val="00457C2B"/>
    <w:rsid w:val="0047014C"/>
    <w:rsid w:val="0047787B"/>
    <w:rsid w:val="004A3AB5"/>
    <w:rsid w:val="004A5744"/>
    <w:rsid w:val="004A6DBC"/>
    <w:rsid w:val="004C0D6B"/>
    <w:rsid w:val="004C212B"/>
    <w:rsid w:val="004C323F"/>
    <w:rsid w:val="004C4239"/>
    <w:rsid w:val="004D0A05"/>
    <w:rsid w:val="004D0F99"/>
    <w:rsid w:val="004D4A82"/>
    <w:rsid w:val="004D5077"/>
    <w:rsid w:val="004E1016"/>
    <w:rsid w:val="004E4773"/>
    <w:rsid w:val="004E5B55"/>
    <w:rsid w:val="004E5B79"/>
    <w:rsid w:val="004E5E3A"/>
    <w:rsid w:val="004F22DC"/>
    <w:rsid w:val="00505386"/>
    <w:rsid w:val="00506111"/>
    <w:rsid w:val="00511968"/>
    <w:rsid w:val="0051304B"/>
    <w:rsid w:val="00520746"/>
    <w:rsid w:val="005300F4"/>
    <w:rsid w:val="0053085D"/>
    <w:rsid w:val="00535DD1"/>
    <w:rsid w:val="005421E1"/>
    <w:rsid w:val="00542601"/>
    <w:rsid w:val="00555CA0"/>
    <w:rsid w:val="00580CA1"/>
    <w:rsid w:val="00581A63"/>
    <w:rsid w:val="0058354A"/>
    <w:rsid w:val="005A25DE"/>
    <w:rsid w:val="005B5878"/>
    <w:rsid w:val="005D06CF"/>
    <w:rsid w:val="005D50D9"/>
    <w:rsid w:val="005E3BBB"/>
    <w:rsid w:val="005E4105"/>
    <w:rsid w:val="005F2949"/>
    <w:rsid w:val="005F58DE"/>
    <w:rsid w:val="00601830"/>
    <w:rsid w:val="00612036"/>
    <w:rsid w:val="006125AA"/>
    <w:rsid w:val="00617DE1"/>
    <w:rsid w:val="00617F92"/>
    <w:rsid w:val="00621F29"/>
    <w:rsid w:val="00626A5E"/>
    <w:rsid w:val="00630CDC"/>
    <w:rsid w:val="0064297B"/>
    <w:rsid w:val="00644D97"/>
    <w:rsid w:val="0065164D"/>
    <w:rsid w:val="00655BA9"/>
    <w:rsid w:val="00657EF9"/>
    <w:rsid w:val="006600C5"/>
    <w:rsid w:val="006659CE"/>
    <w:rsid w:val="00670CC6"/>
    <w:rsid w:val="006723C1"/>
    <w:rsid w:val="00674592"/>
    <w:rsid w:val="00677A90"/>
    <w:rsid w:val="00686528"/>
    <w:rsid w:val="00687A1A"/>
    <w:rsid w:val="00690887"/>
    <w:rsid w:val="006A0D06"/>
    <w:rsid w:val="006A4A38"/>
    <w:rsid w:val="006B5577"/>
    <w:rsid w:val="006C0BC4"/>
    <w:rsid w:val="006C1EBF"/>
    <w:rsid w:val="006F2FED"/>
    <w:rsid w:val="006F5A2F"/>
    <w:rsid w:val="006F79E5"/>
    <w:rsid w:val="0070581E"/>
    <w:rsid w:val="00716D4E"/>
    <w:rsid w:val="00717FE1"/>
    <w:rsid w:val="007214AA"/>
    <w:rsid w:val="00723129"/>
    <w:rsid w:val="007373FF"/>
    <w:rsid w:val="00740AD2"/>
    <w:rsid w:val="007414C2"/>
    <w:rsid w:val="00745DE6"/>
    <w:rsid w:val="007524A9"/>
    <w:rsid w:val="00754557"/>
    <w:rsid w:val="007552F0"/>
    <w:rsid w:val="00761A73"/>
    <w:rsid w:val="007628BB"/>
    <w:rsid w:val="00765CB5"/>
    <w:rsid w:val="007725E8"/>
    <w:rsid w:val="00775F63"/>
    <w:rsid w:val="00781B45"/>
    <w:rsid w:val="00786843"/>
    <w:rsid w:val="00791133"/>
    <w:rsid w:val="007B1944"/>
    <w:rsid w:val="007C09B2"/>
    <w:rsid w:val="007C2CAB"/>
    <w:rsid w:val="007D1B97"/>
    <w:rsid w:val="007D686A"/>
    <w:rsid w:val="007E36DA"/>
    <w:rsid w:val="007F0D0F"/>
    <w:rsid w:val="00804C19"/>
    <w:rsid w:val="00805D9B"/>
    <w:rsid w:val="00805E78"/>
    <w:rsid w:val="0080738B"/>
    <w:rsid w:val="00820B7F"/>
    <w:rsid w:val="00826C95"/>
    <w:rsid w:val="00827582"/>
    <w:rsid w:val="00831DCD"/>
    <w:rsid w:val="00835C47"/>
    <w:rsid w:val="00841E80"/>
    <w:rsid w:val="00845222"/>
    <w:rsid w:val="00853FEE"/>
    <w:rsid w:val="00855165"/>
    <w:rsid w:val="00861C41"/>
    <w:rsid w:val="008708A0"/>
    <w:rsid w:val="00882367"/>
    <w:rsid w:val="008910F0"/>
    <w:rsid w:val="008927C7"/>
    <w:rsid w:val="0089488D"/>
    <w:rsid w:val="008A16A6"/>
    <w:rsid w:val="008A4FE5"/>
    <w:rsid w:val="008A6F9E"/>
    <w:rsid w:val="008B2BD2"/>
    <w:rsid w:val="008B7836"/>
    <w:rsid w:val="008C4D05"/>
    <w:rsid w:val="008D51BE"/>
    <w:rsid w:val="008E6569"/>
    <w:rsid w:val="008E7B8B"/>
    <w:rsid w:val="008F1DB2"/>
    <w:rsid w:val="008F3B4F"/>
    <w:rsid w:val="00902F9E"/>
    <w:rsid w:val="0090357F"/>
    <w:rsid w:val="009057D5"/>
    <w:rsid w:val="00912E1C"/>
    <w:rsid w:val="009164C9"/>
    <w:rsid w:val="00916996"/>
    <w:rsid w:val="00920116"/>
    <w:rsid w:val="0092270D"/>
    <w:rsid w:val="00923C4E"/>
    <w:rsid w:val="00944331"/>
    <w:rsid w:val="00944C99"/>
    <w:rsid w:val="0094509C"/>
    <w:rsid w:val="00947D0A"/>
    <w:rsid w:val="00952FF9"/>
    <w:rsid w:val="00953E5B"/>
    <w:rsid w:val="00966793"/>
    <w:rsid w:val="00970464"/>
    <w:rsid w:val="00974E28"/>
    <w:rsid w:val="00975809"/>
    <w:rsid w:val="009825E6"/>
    <w:rsid w:val="00997994"/>
    <w:rsid w:val="009A0B3E"/>
    <w:rsid w:val="009A23B8"/>
    <w:rsid w:val="009B6177"/>
    <w:rsid w:val="009C14ED"/>
    <w:rsid w:val="009D07CD"/>
    <w:rsid w:val="009D4C17"/>
    <w:rsid w:val="009D5DDB"/>
    <w:rsid w:val="009E0A94"/>
    <w:rsid w:val="009F6B1D"/>
    <w:rsid w:val="00A007DB"/>
    <w:rsid w:val="00A044D7"/>
    <w:rsid w:val="00A06FC4"/>
    <w:rsid w:val="00A079D8"/>
    <w:rsid w:val="00A1409C"/>
    <w:rsid w:val="00A155B9"/>
    <w:rsid w:val="00A23F23"/>
    <w:rsid w:val="00A2703B"/>
    <w:rsid w:val="00A344B2"/>
    <w:rsid w:val="00A40AD6"/>
    <w:rsid w:val="00A42B8B"/>
    <w:rsid w:val="00A46EE9"/>
    <w:rsid w:val="00A558AC"/>
    <w:rsid w:val="00A655DB"/>
    <w:rsid w:val="00A72DD2"/>
    <w:rsid w:val="00A76E5A"/>
    <w:rsid w:val="00A80B10"/>
    <w:rsid w:val="00A856E5"/>
    <w:rsid w:val="00A91FA8"/>
    <w:rsid w:val="00A969C5"/>
    <w:rsid w:val="00AA7A43"/>
    <w:rsid w:val="00AB1685"/>
    <w:rsid w:val="00AB46EA"/>
    <w:rsid w:val="00AD2C2D"/>
    <w:rsid w:val="00AD4EC5"/>
    <w:rsid w:val="00AD5239"/>
    <w:rsid w:val="00AD6A6F"/>
    <w:rsid w:val="00AD7168"/>
    <w:rsid w:val="00AE3849"/>
    <w:rsid w:val="00AE45B9"/>
    <w:rsid w:val="00AF2EB4"/>
    <w:rsid w:val="00B00178"/>
    <w:rsid w:val="00B00D3E"/>
    <w:rsid w:val="00B11826"/>
    <w:rsid w:val="00B144B7"/>
    <w:rsid w:val="00B152DB"/>
    <w:rsid w:val="00B2009C"/>
    <w:rsid w:val="00B25462"/>
    <w:rsid w:val="00B27717"/>
    <w:rsid w:val="00B309E4"/>
    <w:rsid w:val="00B30A4E"/>
    <w:rsid w:val="00B36A23"/>
    <w:rsid w:val="00B3719A"/>
    <w:rsid w:val="00B3733C"/>
    <w:rsid w:val="00B43512"/>
    <w:rsid w:val="00B4544C"/>
    <w:rsid w:val="00B65307"/>
    <w:rsid w:val="00BA3ED2"/>
    <w:rsid w:val="00BA6ACD"/>
    <w:rsid w:val="00BC56ED"/>
    <w:rsid w:val="00BE1AB3"/>
    <w:rsid w:val="00BE4227"/>
    <w:rsid w:val="00BE494B"/>
    <w:rsid w:val="00BF4753"/>
    <w:rsid w:val="00BF7653"/>
    <w:rsid w:val="00C12C5A"/>
    <w:rsid w:val="00C1648D"/>
    <w:rsid w:val="00C1690C"/>
    <w:rsid w:val="00C241A9"/>
    <w:rsid w:val="00C25FE3"/>
    <w:rsid w:val="00C3501B"/>
    <w:rsid w:val="00C47F46"/>
    <w:rsid w:val="00C5274E"/>
    <w:rsid w:val="00C65AB0"/>
    <w:rsid w:val="00C67290"/>
    <w:rsid w:val="00C77602"/>
    <w:rsid w:val="00C86F93"/>
    <w:rsid w:val="00C874BA"/>
    <w:rsid w:val="00CB05B9"/>
    <w:rsid w:val="00CB44E5"/>
    <w:rsid w:val="00CB7B10"/>
    <w:rsid w:val="00CC1055"/>
    <w:rsid w:val="00CC4154"/>
    <w:rsid w:val="00CD411E"/>
    <w:rsid w:val="00CE2819"/>
    <w:rsid w:val="00CE41A0"/>
    <w:rsid w:val="00CF4CD8"/>
    <w:rsid w:val="00CF5047"/>
    <w:rsid w:val="00CF52F5"/>
    <w:rsid w:val="00CF7601"/>
    <w:rsid w:val="00D1139E"/>
    <w:rsid w:val="00D123AE"/>
    <w:rsid w:val="00D13C66"/>
    <w:rsid w:val="00D14AFF"/>
    <w:rsid w:val="00D22991"/>
    <w:rsid w:val="00D351CE"/>
    <w:rsid w:val="00D36B83"/>
    <w:rsid w:val="00D40C5F"/>
    <w:rsid w:val="00D44DA4"/>
    <w:rsid w:val="00D55317"/>
    <w:rsid w:val="00D55F51"/>
    <w:rsid w:val="00D64983"/>
    <w:rsid w:val="00D66FC0"/>
    <w:rsid w:val="00D71841"/>
    <w:rsid w:val="00D72FF5"/>
    <w:rsid w:val="00D730F1"/>
    <w:rsid w:val="00D85C5C"/>
    <w:rsid w:val="00D87BA7"/>
    <w:rsid w:val="00D9415A"/>
    <w:rsid w:val="00DA29D1"/>
    <w:rsid w:val="00DA4679"/>
    <w:rsid w:val="00DB591B"/>
    <w:rsid w:val="00DB774E"/>
    <w:rsid w:val="00DB78B2"/>
    <w:rsid w:val="00DC4490"/>
    <w:rsid w:val="00DD0A98"/>
    <w:rsid w:val="00DD2354"/>
    <w:rsid w:val="00DD2FF2"/>
    <w:rsid w:val="00DD7496"/>
    <w:rsid w:val="00DF3A8D"/>
    <w:rsid w:val="00DF4FF0"/>
    <w:rsid w:val="00E001EF"/>
    <w:rsid w:val="00E0172F"/>
    <w:rsid w:val="00E01F91"/>
    <w:rsid w:val="00E1176A"/>
    <w:rsid w:val="00E2753A"/>
    <w:rsid w:val="00E27698"/>
    <w:rsid w:val="00E3410D"/>
    <w:rsid w:val="00E34C0F"/>
    <w:rsid w:val="00E359CB"/>
    <w:rsid w:val="00E364BA"/>
    <w:rsid w:val="00E51EBF"/>
    <w:rsid w:val="00E621F0"/>
    <w:rsid w:val="00E75EDA"/>
    <w:rsid w:val="00E761EA"/>
    <w:rsid w:val="00E85F12"/>
    <w:rsid w:val="00E954F7"/>
    <w:rsid w:val="00E95C3B"/>
    <w:rsid w:val="00E96C89"/>
    <w:rsid w:val="00EA004D"/>
    <w:rsid w:val="00EA07A0"/>
    <w:rsid w:val="00EA4D5D"/>
    <w:rsid w:val="00EB1D5D"/>
    <w:rsid w:val="00EB4454"/>
    <w:rsid w:val="00ED2B26"/>
    <w:rsid w:val="00ED5D1F"/>
    <w:rsid w:val="00EE08EB"/>
    <w:rsid w:val="00EF5814"/>
    <w:rsid w:val="00F04EBE"/>
    <w:rsid w:val="00F07B6D"/>
    <w:rsid w:val="00F12274"/>
    <w:rsid w:val="00F138F2"/>
    <w:rsid w:val="00F20BB2"/>
    <w:rsid w:val="00F21E0D"/>
    <w:rsid w:val="00F26D7A"/>
    <w:rsid w:val="00F32354"/>
    <w:rsid w:val="00F36069"/>
    <w:rsid w:val="00F36BE4"/>
    <w:rsid w:val="00F468E7"/>
    <w:rsid w:val="00F475B6"/>
    <w:rsid w:val="00F6218B"/>
    <w:rsid w:val="00F70ACB"/>
    <w:rsid w:val="00F8053B"/>
    <w:rsid w:val="00F82EF5"/>
    <w:rsid w:val="00F8412E"/>
    <w:rsid w:val="00F85D4F"/>
    <w:rsid w:val="00F97627"/>
    <w:rsid w:val="00FA0F9A"/>
    <w:rsid w:val="00FB05B3"/>
    <w:rsid w:val="00FB25E6"/>
    <w:rsid w:val="00FB6E1A"/>
    <w:rsid w:val="00FC55E7"/>
    <w:rsid w:val="00FC66D4"/>
    <w:rsid w:val="00FD1741"/>
    <w:rsid w:val="00FD1B5C"/>
    <w:rsid w:val="00FD5E40"/>
    <w:rsid w:val="00FF048C"/>
    <w:rsid w:val="00FF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F6ED316"/>
  <w15:chartTrackingRefBased/>
  <w15:docId w15:val="{63899472-F989-4D5D-89EC-70031BDB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0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1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1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1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1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01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1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1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1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1EF"/>
    <w:rPr>
      <w:rFonts w:eastAsiaTheme="majorEastAsia" w:cstheme="majorBidi"/>
      <w:color w:val="272727" w:themeColor="text1" w:themeTint="D8"/>
    </w:rPr>
  </w:style>
  <w:style w:type="paragraph" w:styleId="Title">
    <w:name w:val="Title"/>
    <w:basedOn w:val="Normal"/>
    <w:next w:val="Normal"/>
    <w:link w:val="TitleChar"/>
    <w:uiPriority w:val="10"/>
    <w:qFormat/>
    <w:rsid w:val="00E00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1EF"/>
    <w:pPr>
      <w:spacing w:before="160"/>
      <w:jc w:val="center"/>
    </w:pPr>
    <w:rPr>
      <w:i/>
      <w:iCs/>
      <w:color w:val="404040" w:themeColor="text1" w:themeTint="BF"/>
    </w:rPr>
  </w:style>
  <w:style w:type="character" w:customStyle="1" w:styleId="QuoteChar">
    <w:name w:val="Quote Char"/>
    <w:basedOn w:val="DefaultParagraphFont"/>
    <w:link w:val="Quote"/>
    <w:uiPriority w:val="29"/>
    <w:rsid w:val="00E001EF"/>
    <w:rPr>
      <w:i/>
      <w:iCs/>
      <w:color w:val="404040" w:themeColor="text1" w:themeTint="BF"/>
    </w:rPr>
  </w:style>
  <w:style w:type="paragraph" w:styleId="ListParagraph">
    <w:name w:val="List Paragraph"/>
    <w:basedOn w:val="Normal"/>
    <w:uiPriority w:val="34"/>
    <w:qFormat/>
    <w:rsid w:val="00E001EF"/>
    <w:pPr>
      <w:ind w:left="720"/>
      <w:contextualSpacing/>
    </w:pPr>
  </w:style>
  <w:style w:type="character" w:styleId="IntenseEmphasis">
    <w:name w:val="Intense Emphasis"/>
    <w:basedOn w:val="DefaultParagraphFont"/>
    <w:uiPriority w:val="21"/>
    <w:qFormat/>
    <w:rsid w:val="00E001EF"/>
    <w:rPr>
      <w:i/>
      <w:iCs/>
      <w:color w:val="0F4761" w:themeColor="accent1" w:themeShade="BF"/>
    </w:rPr>
  </w:style>
  <w:style w:type="paragraph" w:styleId="IntenseQuote">
    <w:name w:val="Intense Quote"/>
    <w:basedOn w:val="Normal"/>
    <w:next w:val="Normal"/>
    <w:link w:val="IntenseQuoteChar"/>
    <w:uiPriority w:val="30"/>
    <w:qFormat/>
    <w:rsid w:val="00E00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1EF"/>
    <w:rPr>
      <w:i/>
      <w:iCs/>
      <w:color w:val="0F4761" w:themeColor="accent1" w:themeShade="BF"/>
    </w:rPr>
  </w:style>
  <w:style w:type="character" w:styleId="IntenseReference">
    <w:name w:val="Intense Reference"/>
    <w:basedOn w:val="DefaultParagraphFont"/>
    <w:uiPriority w:val="32"/>
    <w:qFormat/>
    <w:rsid w:val="00E001EF"/>
    <w:rPr>
      <w:b/>
      <w:bCs/>
      <w:smallCaps/>
      <w:color w:val="0F4761" w:themeColor="accent1" w:themeShade="BF"/>
      <w:spacing w:val="5"/>
    </w:rPr>
  </w:style>
  <w:style w:type="paragraph" w:styleId="Header">
    <w:name w:val="header"/>
    <w:basedOn w:val="Normal"/>
    <w:link w:val="HeaderChar"/>
    <w:uiPriority w:val="99"/>
    <w:unhideWhenUsed/>
    <w:rsid w:val="00CB4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4E5"/>
  </w:style>
  <w:style w:type="paragraph" w:styleId="Footer">
    <w:name w:val="footer"/>
    <w:basedOn w:val="Normal"/>
    <w:link w:val="FooterChar"/>
    <w:uiPriority w:val="99"/>
    <w:unhideWhenUsed/>
    <w:rsid w:val="00CB4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4E5"/>
  </w:style>
  <w:style w:type="character" w:styleId="Hyperlink">
    <w:name w:val="Hyperlink"/>
    <w:basedOn w:val="DefaultParagraphFont"/>
    <w:uiPriority w:val="99"/>
    <w:unhideWhenUsed/>
    <w:rsid w:val="00617F92"/>
    <w:rPr>
      <w:color w:val="467886" w:themeColor="hyperlink"/>
      <w:u w:val="single"/>
    </w:rPr>
  </w:style>
  <w:style w:type="character" w:styleId="UnresolvedMention">
    <w:name w:val="Unresolved Mention"/>
    <w:basedOn w:val="DefaultParagraphFont"/>
    <w:uiPriority w:val="99"/>
    <w:semiHidden/>
    <w:unhideWhenUsed/>
    <w:rsid w:val="00617F92"/>
    <w:rPr>
      <w:color w:val="605E5C"/>
      <w:shd w:val="clear" w:color="auto" w:fill="E1DFDD"/>
    </w:rPr>
  </w:style>
  <w:style w:type="paragraph" w:styleId="NormalWeb">
    <w:name w:val="Normal (Web)"/>
    <w:basedOn w:val="Normal"/>
    <w:uiPriority w:val="99"/>
    <w:semiHidden/>
    <w:unhideWhenUsed/>
    <w:rsid w:val="00A76E5A"/>
    <w:rPr>
      <w:rFonts w:ascii="Times New Roman" w:hAnsi="Times New Roman" w:cs="Times New Roman"/>
    </w:rPr>
  </w:style>
  <w:style w:type="paragraph" w:styleId="FootnoteText">
    <w:name w:val="footnote text"/>
    <w:basedOn w:val="Normal"/>
    <w:link w:val="FootnoteTextChar"/>
    <w:uiPriority w:val="99"/>
    <w:semiHidden/>
    <w:unhideWhenUsed/>
    <w:rsid w:val="00BF76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653"/>
    <w:rPr>
      <w:sz w:val="20"/>
      <w:szCs w:val="20"/>
    </w:rPr>
  </w:style>
  <w:style w:type="character" w:styleId="FootnoteReference">
    <w:name w:val="footnote reference"/>
    <w:basedOn w:val="DefaultParagraphFont"/>
    <w:uiPriority w:val="99"/>
    <w:semiHidden/>
    <w:unhideWhenUsed/>
    <w:rsid w:val="00BF7653"/>
    <w:rPr>
      <w:vertAlign w:val="superscript"/>
    </w:rPr>
  </w:style>
  <w:style w:type="paragraph" w:styleId="EndnoteText">
    <w:name w:val="endnote text"/>
    <w:basedOn w:val="Normal"/>
    <w:link w:val="EndnoteTextChar"/>
    <w:uiPriority w:val="99"/>
    <w:semiHidden/>
    <w:unhideWhenUsed/>
    <w:rsid w:val="004D0F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0F99"/>
    <w:rPr>
      <w:sz w:val="20"/>
      <w:szCs w:val="20"/>
    </w:rPr>
  </w:style>
  <w:style w:type="character" w:styleId="EndnoteReference">
    <w:name w:val="endnote reference"/>
    <w:basedOn w:val="DefaultParagraphFont"/>
    <w:uiPriority w:val="99"/>
    <w:semiHidden/>
    <w:unhideWhenUsed/>
    <w:rsid w:val="004D0F99"/>
    <w:rPr>
      <w:vertAlign w:val="superscript"/>
    </w:rPr>
  </w:style>
  <w:style w:type="paragraph" w:styleId="Revision">
    <w:name w:val="Revision"/>
    <w:hidden/>
    <w:uiPriority w:val="99"/>
    <w:semiHidden/>
    <w:rsid w:val="006C0BC4"/>
    <w:pPr>
      <w:spacing w:after="0" w:line="240" w:lineRule="auto"/>
    </w:pPr>
  </w:style>
  <w:style w:type="character" w:styleId="CommentReference">
    <w:name w:val="annotation reference"/>
    <w:basedOn w:val="DefaultParagraphFont"/>
    <w:uiPriority w:val="99"/>
    <w:semiHidden/>
    <w:unhideWhenUsed/>
    <w:rsid w:val="00BF4753"/>
    <w:rPr>
      <w:sz w:val="16"/>
      <w:szCs w:val="16"/>
    </w:rPr>
  </w:style>
  <w:style w:type="paragraph" w:styleId="CommentText">
    <w:name w:val="annotation text"/>
    <w:basedOn w:val="Normal"/>
    <w:link w:val="CommentTextChar"/>
    <w:uiPriority w:val="99"/>
    <w:unhideWhenUsed/>
    <w:rsid w:val="00BF4753"/>
    <w:pPr>
      <w:spacing w:line="240" w:lineRule="auto"/>
    </w:pPr>
    <w:rPr>
      <w:sz w:val="20"/>
      <w:szCs w:val="20"/>
    </w:rPr>
  </w:style>
  <w:style w:type="character" w:customStyle="1" w:styleId="CommentTextChar">
    <w:name w:val="Comment Text Char"/>
    <w:basedOn w:val="DefaultParagraphFont"/>
    <w:link w:val="CommentText"/>
    <w:uiPriority w:val="99"/>
    <w:rsid w:val="00BF4753"/>
    <w:rPr>
      <w:sz w:val="20"/>
      <w:szCs w:val="20"/>
    </w:rPr>
  </w:style>
  <w:style w:type="paragraph" w:styleId="CommentSubject">
    <w:name w:val="annotation subject"/>
    <w:basedOn w:val="CommentText"/>
    <w:next w:val="CommentText"/>
    <w:link w:val="CommentSubjectChar"/>
    <w:uiPriority w:val="99"/>
    <w:semiHidden/>
    <w:unhideWhenUsed/>
    <w:rsid w:val="00BF4753"/>
    <w:rPr>
      <w:b/>
      <w:bCs/>
    </w:rPr>
  </w:style>
  <w:style w:type="character" w:customStyle="1" w:styleId="CommentSubjectChar">
    <w:name w:val="Comment Subject Char"/>
    <w:basedOn w:val="CommentTextChar"/>
    <w:link w:val="CommentSubject"/>
    <w:uiPriority w:val="99"/>
    <w:semiHidden/>
    <w:rsid w:val="00BF4753"/>
    <w:rPr>
      <w:b/>
      <w:bCs/>
      <w:sz w:val="20"/>
      <w:szCs w:val="20"/>
    </w:rPr>
  </w:style>
  <w:style w:type="paragraph" w:styleId="BalloonText">
    <w:name w:val="Balloon Text"/>
    <w:basedOn w:val="Normal"/>
    <w:link w:val="BalloonTextChar"/>
    <w:uiPriority w:val="99"/>
    <w:semiHidden/>
    <w:unhideWhenUsed/>
    <w:rsid w:val="00CD411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11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da.gov.rw" TargetMode="External"/><Relationship Id="rId13" Type="http://schemas.openxmlformats.org/officeDocument/2006/relationships/hyperlink" Target="https://www.helpage.org?utm_source=chatgp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page.org?utm_source=chatgpt.com" TargetMode="External"/><Relationship Id="rId5" Type="http://schemas.openxmlformats.org/officeDocument/2006/relationships/webSettings" Target="webSettings.xml"/><Relationship Id="rId15" Type="http://schemas.openxmlformats.org/officeDocument/2006/relationships/hyperlink" Target="https://www.who.int" TargetMode="External"/><Relationship Id="rId10" Type="http://schemas.openxmlformats.org/officeDocument/2006/relationships/hyperlink" Target="https://www.socialprotection.go.k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orldbank.org" TargetMode="External"/><Relationship Id="rId14" Type="http://schemas.openxmlformats.org/officeDocument/2006/relationships/hyperlink" Target="https://arabstates.unfpa.org"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weforum.org/stories/2024/05/how-communities-can-step-up-to-provide-long-term-care-for-the-world-s-ageing-population/" TargetMode="External"/><Relationship Id="rId2" Type="http://schemas.openxmlformats.org/officeDocument/2006/relationships/hyperlink" Target="https://www.unicef.org/wash/disability" TargetMode="External"/><Relationship Id="rId1" Type="http://schemas.openxmlformats.org/officeDocument/2006/relationships/hyperlink" Target="https://www.unops.org" TargetMode="External"/><Relationship Id="rId5" Type="http://schemas.openxmlformats.org/officeDocument/2006/relationships/hyperlink" Target="https://www.helpage.org" TargetMode="External"/><Relationship Id="rId4" Type="http://schemas.openxmlformats.org/officeDocument/2006/relationships/hyperlink" Target="https://www.helpage.org/resource/greyandgreen-manifesto-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FF16D-DDB1-AC42-A099-2BA1C80B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4835</Words>
  <Characters>27565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Bonilla Garcia</dc:creator>
  <cp:keywords/>
  <dc:description/>
  <cp:lastModifiedBy>Microsoft Office User</cp:lastModifiedBy>
  <cp:revision>5</cp:revision>
  <cp:lastPrinted>2026-03-20T15:52:00Z</cp:lastPrinted>
  <dcterms:created xsi:type="dcterms:W3CDTF">2026-04-12T19:33:00Z</dcterms:created>
  <dcterms:modified xsi:type="dcterms:W3CDTF">2026-04-12T19:44:00Z</dcterms:modified>
</cp:coreProperties>
</file>